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226" w:afterAutospacing="0" w:line="480" w:lineRule="atLeast"/>
        <w:ind w:left="316" w:right="316"/>
        <w:jc w:val="center"/>
        <w:rPr>
          <w:rFonts w:hint="eastAsia" w:ascii="方正小标宋_GBK" w:hAnsi="方正小标宋_GBK" w:eastAsia="方正小标宋_GBK" w:cs="方正小标宋_GBK"/>
          <w:b w:val="0"/>
          <w:color w:val="000000"/>
          <w:sz w:val="44"/>
          <w:szCs w:val="44"/>
        </w:rPr>
      </w:pPr>
      <w:r>
        <w:rPr>
          <w:rFonts w:hint="eastAsia" w:ascii="方正小标宋_GBK" w:hAnsi="方正小标宋_GBK" w:eastAsia="方正小标宋_GBK" w:cs="方正小标宋_GBK"/>
          <w:b w:val="0"/>
          <w:i w:val="0"/>
          <w:caps w:val="0"/>
          <w:color w:val="000000"/>
          <w:spacing w:val="0"/>
          <w:sz w:val="44"/>
          <w:szCs w:val="44"/>
        </w:rPr>
        <w:t>福建省药品监督管理局关于加强药品第三方物流监管工作的通知</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540" w:lineRule="atLeast"/>
        <w:ind w:left="0" w:right="0"/>
        <w:jc w:val="center"/>
        <w:rPr>
          <w:rFonts w:ascii="仿宋_GB2312" w:hAnsi="宋体" w:eastAsia="仿宋_GB2312" w:cs="仿宋_GB2312"/>
          <w:b w:val="0"/>
          <w:i w:val="0"/>
          <w:caps w:val="0"/>
          <w:color w:val="333333"/>
          <w:spacing w:val="0"/>
          <w:kern w:val="0"/>
          <w:sz w:val="32"/>
          <w:szCs w:val="32"/>
          <w:lang w:val="en-US" w:eastAsia="zh-CN" w:bidi="ar"/>
        </w:rPr>
      </w:pPr>
      <w:bookmarkStart w:id="0" w:name="_GoBack"/>
      <w:r>
        <w:rPr>
          <w:rFonts w:ascii="仿宋_GB2312" w:hAnsi="宋体" w:eastAsia="仿宋_GB2312" w:cs="仿宋_GB2312"/>
          <w:b w:val="0"/>
          <w:i w:val="0"/>
          <w:caps w:val="0"/>
          <w:color w:val="333333"/>
          <w:spacing w:val="0"/>
          <w:kern w:val="0"/>
          <w:sz w:val="32"/>
          <w:szCs w:val="32"/>
          <w:lang w:val="en-US" w:eastAsia="zh-CN" w:bidi="ar"/>
        </w:rPr>
        <w:t>闽药监药通函〔2019〕128号</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jc w:val="left"/>
        <w:rPr>
          <w:rFonts w:hint="eastAsia" w:ascii="宋体" w:hAnsi="宋体" w:eastAsia="宋体" w:cs="宋体"/>
          <w:sz w:val="21"/>
          <w:szCs w:val="21"/>
        </w:rPr>
      </w:pPr>
      <w:r>
        <w:rPr>
          <w:rFonts w:ascii="仿宋_GB2312" w:hAnsi="宋体" w:eastAsia="仿宋_GB2312" w:cs="仿宋_GB2312"/>
          <w:b w:val="0"/>
          <w:i w:val="0"/>
          <w:caps w:val="0"/>
          <w:color w:val="333333"/>
          <w:spacing w:val="0"/>
          <w:kern w:val="0"/>
          <w:sz w:val="32"/>
          <w:szCs w:val="32"/>
          <w:lang w:val="en-US" w:eastAsia="zh-CN" w:bidi="ar"/>
        </w:rPr>
        <w:t>各设区市、平潭综合实验区市场监督管理局</w:t>
      </w:r>
      <w:r>
        <w:rPr>
          <w:rFonts w:hint="default" w:ascii="仿宋_GB2312" w:hAnsi="宋体" w:eastAsia="仿宋_GB2312" w:cs="仿宋_GB2312"/>
          <w:b w:val="0"/>
          <w:i w:val="0"/>
          <w:caps w:val="0"/>
          <w:color w:val="333333"/>
          <w:spacing w:val="0"/>
          <w:kern w:val="0"/>
          <w:sz w:val="32"/>
          <w:szCs w:val="32"/>
          <w:lang w:val="en-US" w:eastAsia="zh-CN" w:bidi="ar"/>
        </w:rPr>
        <w:t>，福州、厦门、三明稽查办公室，省局相关机关处：</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lang w:val="en-US" w:eastAsia="zh-CN" w:bidi="ar"/>
        </w:rPr>
        <w:t>根据《国务院办公厅关于进一步改革完善药品生产流通使用政策的若干意见》（国办发〔2017〕13号）、商务部《全国药品流通行业发展规划（2016-2020年）》等文件精神，为规范药品第三方物流管理，促进我省药品第三方物流健康发展，结合我省</w:t>
      </w:r>
      <w:r>
        <w:rPr>
          <w:rFonts w:hint="default" w:ascii="仿宋_GB2312" w:hAnsi="宋体" w:eastAsia="仿宋_GB2312" w:cs="仿宋_GB2312"/>
          <w:b w:val="0"/>
          <w:i w:val="0"/>
          <w:caps w:val="0"/>
          <w:color w:val="333333"/>
          <w:spacing w:val="-11"/>
          <w:kern w:val="0"/>
          <w:sz w:val="32"/>
          <w:szCs w:val="32"/>
          <w:lang w:val="en-US" w:eastAsia="zh-CN" w:bidi="ar"/>
        </w:rPr>
        <w:t>实际，现就加强我省药品第三方物流监管工作的有关事项通知如下：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ascii="黑体" w:hAnsi="宋体" w:eastAsia="黑体" w:cs="黑体"/>
          <w:b w:val="0"/>
          <w:i w:val="0"/>
          <w:caps w:val="0"/>
          <w:color w:val="333333"/>
          <w:spacing w:val="0"/>
          <w:kern w:val="0"/>
          <w:sz w:val="32"/>
          <w:szCs w:val="32"/>
          <w:shd w:val="clear" w:fill="FFFFFF"/>
          <w:lang w:val="en-US" w:eastAsia="zh-CN" w:bidi="ar"/>
        </w:rPr>
        <w:t>一、支持开展药品第三方物流业务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shd w:val="clear" w:fill="FFFFFF"/>
          <w:lang w:val="en-US" w:eastAsia="zh-CN" w:bidi="ar"/>
        </w:rPr>
        <w:t>（一）支持具备药品现代物流条件并符合</w:t>
      </w:r>
      <w:r>
        <w:rPr>
          <w:rFonts w:hint="default" w:ascii="仿宋_GB2312" w:hAnsi="宋体" w:eastAsia="仿宋_GB2312" w:cs="仿宋_GB2312"/>
          <w:i w:val="0"/>
          <w:caps w:val="0"/>
          <w:color w:val="333333"/>
          <w:spacing w:val="0"/>
          <w:kern w:val="0"/>
          <w:sz w:val="32"/>
          <w:szCs w:val="32"/>
          <w:shd w:val="clear" w:fill="FFFFFF"/>
          <w:lang w:val="en-US" w:eastAsia="zh-CN" w:bidi="ar"/>
        </w:rPr>
        <w:t>《药品经营质量管理规范》（以下简称“药品GSP”）</w:t>
      </w:r>
      <w:r>
        <w:rPr>
          <w:rFonts w:hint="default" w:ascii="仿宋_GB2312" w:hAnsi="宋体" w:eastAsia="仿宋_GB2312" w:cs="仿宋_GB2312"/>
          <w:b w:val="0"/>
          <w:i w:val="0"/>
          <w:caps w:val="0"/>
          <w:color w:val="333333"/>
          <w:spacing w:val="0"/>
          <w:kern w:val="0"/>
          <w:sz w:val="32"/>
          <w:szCs w:val="32"/>
          <w:shd w:val="clear" w:fill="FFFFFF"/>
          <w:lang w:val="en-US" w:eastAsia="zh-CN" w:bidi="ar"/>
        </w:rPr>
        <w:t>的企业开展药品第三方物流业务。开展药品第三方物流业务的相关要求可参照《福建省药品第三方物流企业技术指南（试行）》（以下简称《技术指南》，见附件1）。该《技术指南》仅供从事药品第三方物流服务业务的企业和药品监管部门借鉴和参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shd w:val="clear" w:fill="FFFFFF"/>
          <w:lang w:val="en-US" w:eastAsia="zh-CN" w:bidi="ar"/>
        </w:rPr>
        <w:t>（二）</w:t>
      </w:r>
      <w:r>
        <w:rPr>
          <w:rFonts w:hint="default" w:ascii="仿宋_GB2312" w:hAnsi="宋体" w:eastAsia="仿宋_GB2312" w:cs="仿宋_GB2312"/>
          <w:i w:val="0"/>
          <w:caps w:val="0"/>
          <w:color w:val="333333"/>
          <w:spacing w:val="8"/>
          <w:kern w:val="0"/>
          <w:sz w:val="32"/>
          <w:szCs w:val="32"/>
          <w:shd w:val="clear" w:fill="FFFFFF"/>
          <w:lang w:val="en-US" w:eastAsia="zh-CN" w:bidi="ar"/>
        </w:rPr>
        <w:t>药品上市许可持有人</w:t>
      </w:r>
      <w:r>
        <w:rPr>
          <w:rFonts w:hint="default" w:ascii="仿宋_GB2312" w:hAnsi="宋体" w:eastAsia="仿宋_GB2312" w:cs="仿宋_GB2312"/>
          <w:i w:val="0"/>
          <w:caps w:val="0"/>
          <w:color w:val="333333"/>
          <w:spacing w:val="0"/>
          <w:kern w:val="0"/>
          <w:sz w:val="32"/>
          <w:szCs w:val="32"/>
          <w:shd w:val="clear" w:fill="FFFFFF"/>
          <w:lang w:val="en-US" w:eastAsia="zh-CN" w:bidi="ar"/>
        </w:rPr>
        <w:t>、药品生产企业</w:t>
      </w:r>
      <w:r>
        <w:rPr>
          <w:rFonts w:hint="default" w:ascii="仿宋_GB2312" w:hAnsi="宋体" w:eastAsia="仿宋_GB2312" w:cs="仿宋_GB2312"/>
          <w:i w:val="0"/>
          <w:caps w:val="0"/>
          <w:color w:val="333333"/>
          <w:spacing w:val="8"/>
          <w:kern w:val="0"/>
          <w:sz w:val="32"/>
          <w:szCs w:val="32"/>
          <w:shd w:val="clear" w:fill="FFFFFF"/>
          <w:lang w:val="en-US" w:eastAsia="zh-CN" w:bidi="ar"/>
        </w:rPr>
        <w:t>、药品经营企业（以下统称“委托方”），可按本通知要求，将药品委托</w:t>
      </w:r>
      <w:r>
        <w:rPr>
          <w:rFonts w:hint="default" w:ascii="仿宋_GB2312" w:hAnsi="宋体" w:eastAsia="仿宋_GB2312" w:cs="仿宋_GB2312"/>
          <w:i w:val="0"/>
          <w:caps w:val="0"/>
          <w:color w:val="333333"/>
          <w:spacing w:val="0"/>
          <w:kern w:val="0"/>
          <w:sz w:val="32"/>
          <w:szCs w:val="32"/>
          <w:shd w:val="clear" w:fill="FFFFFF"/>
          <w:lang w:val="en-US" w:eastAsia="zh-CN" w:bidi="ar"/>
        </w:rPr>
        <w:t>具备现代物流条件的</w:t>
      </w:r>
      <w:r>
        <w:rPr>
          <w:rFonts w:hint="default" w:ascii="仿宋_GB2312" w:hAnsi="宋体" w:eastAsia="仿宋_GB2312" w:cs="仿宋_GB2312"/>
          <w:i w:val="0"/>
          <w:caps w:val="0"/>
          <w:color w:val="333333"/>
          <w:spacing w:val="8"/>
          <w:kern w:val="0"/>
          <w:sz w:val="32"/>
          <w:szCs w:val="32"/>
          <w:shd w:val="clear" w:fill="FFFFFF"/>
          <w:lang w:val="en-US" w:eastAsia="zh-CN" w:bidi="ar"/>
        </w:rPr>
        <w:t>药品第三方物流企业（以下简称“受托方”）进行储存配送。</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40" w:lineRule="atLeast"/>
        <w:ind w:left="0" w:right="0" w:firstLine="672"/>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8"/>
          <w:sz w:val="32"/>
          <w:szCs w:val="32"/>
          <w:shd w:val="clear" w:fill="FFFFFF"/>
        </w:rPr>
        <w:t>（三）</w:t>
      </w:r>
      <w:r>
        <w:rPr>
          <w:rFonts w:hint="default" w:ascii="仿宋_GB2312" w:hAnsi="宋体" w:eastAsia="仿宋_GB2312" w:cs="仿宋_GB2312"/>
          <w:i w:val="0"/>
          <w:caps w:val="0"/>
          <w:color w:val="333333"/>
          <w:spacing w:val="0"/>
          <w:sz w:val="32"/>
          <w:szCs w:val="32"/>
        </w:rPr>
        <w:t>具备第三方药品物流条件的企业可以在本省辖区设立分库或异地仓库，设立分库或异地仓库条件可参考、借鉴《技术指南》相关要求。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40" w:lineRule="atLeast"/>
        <w:ind w:left="0" w:right="0" w:firstLine="672"/>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8"/>
          <w:sz w:val="32"/>
          <w:szCs w:val="32"/>
          <w:shd w:val="clear" w:fill="FFFFFF"/>
        </w:rPr>
        <w:t>（四）</w:t>
      </w:r>
      <w:r>
        <w:rPr>
          <w:rFonts w:hint="default" w:ascii="仿宋_GB2312" w:hAnsi="宋体" w:eastAsia="仿宋_GB2312" w:cs="仿宋_GB2312"/>
          <w:i w:val="0"/>
          <w:caps w:val="0"/>
          <w:color w:val="333333"/>
          <w:spacing w:val="0"/>
          <w:sz w:val="32"/>
          <w:szCs w:val="32"/>
        </w:rPr>
        <w:t>专营药品第三方冷链物流业务的企业可接受冷藏冷冻药品的委托储存、配送，其冷链储运的条件应严格按照药品GSP并参照《技术指南》的相关要求。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shd w:val="clear" w:fill="FFFFFF"/>
          <w:lang w:val="en-US" w:eastAsia="zh-CN" w:bidi="ar"/>
        </w:rPr>
        <w:t>（五）拟开办药品第三方物流的企业，参照《技术指南》要求开展自查自评并形成自查报告，并向省药品监督管理局（以下简称“省局”）提交自查报告及相关资料（见附件2）。省局经审核符合要求者，在省局网站公布相关信息，接受社会监督。企业对所提交资料的合法性、真实性、有效性负责。</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eastAsia" w:ascii="黑体" w:hAnsi="宋体" w:eastAsia="黑体" w:cs="黑体"/>
          <w:b w:val="0"/>
          <w:i w:val="0"/>
          <w:caps w:val="0"/>
          <w:color w:val="333333"/>
          <w:spacing w:val="0"/>
          <w:kern w:val="0"/>
          <w:sz w:val="32"/>
          <w:szCs w:val="32"/>
          <w:lang w:val="en-US" w:eastAsia="zh-CN" w:bidi="ar"/>
        </w:rPr>
        <w:t>二、落实企业主体责任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4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sz w:val="32"/>
          <w:szCs w:val="32"/>
          <w:shd w:val="clear" w:fill="FFFFFF"/>
        </w:rPr>
        <w:t>（一）委托方和受托方要严格执行《药品管理法》和药品GSP等法律法规规章的规定，签订包含委托储存、配送药品品种、经营范围、数据信息维护与管理、委托期限等内容的合同和质量保证协议，明确双方法律责任和质量管理责任。委托方是药品质量安全的第一责任人，承担委托</w:t>
      </w:r>
      <w:r>
        <w:rPr>
          <w:rFonts w:hint="default" w:ascii="仿宋_GB2312" w:hAnsi="宋体" w:eastAsia="仿宋_GB2312" w:cs="仿宋_GB2312"/>
          <w:b w:val="0"/>
          <w:i w:val="0"/>
          <w:caps w:val="0"/>
          <w:color w:val="333333"/>
          <w:spacing w:val="8"/>
          <w:sz w:val="32"/>
          <w:szCs w:val="32"/>
          <w:shd w:val="clear" w:fill="FFFFFF"/>
        </w:rPr>
        <w:t>储存、配送活动的全部法律责任和药品质量安全责任；受托方应对所承担的药品第三方物流服务活动负相关法律责任和质量安全责任。</w:t>
      </w:r>
      <w:r>
        <w:rPr>
          <w:rFonts w:hint="default" w:ascii="仿宋_GB2312" w:hAnsi="宋体" w:eastAsia="仿宋_GB2312" w:cs="仿宋_GB2312"/>
          <w:b w:val="0"/>
          <w:i w:val="0"/>
          <w:caps w:val="0"/>
          <w:color w:val="333333"/>
          <w:spacing w:val="0"/>
          <w:sz w:val="32"/>
          <w:szCs w:val="32"/>
          <w:shd w:val="clear" w:fill="FFFFFF"/>
        </w:rPr>
        <w:t>委托储存、配送的药品品种、经营范围不得超出委托方和受托方的许可范围。</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lang w:val="en-US" w:eastAsia="zh-CN" w:bidi="ar"/>
        </w:rPr>
        <w:t>（二）委托方应与受托方实现货物、数据信息、票据管理无缝衔接，加强对受托方执行药品GSP规定及履行合同约定的管理。对发现受托方存在严重违反药品GSP等规定或其他违法违规情况的，应终止委托储存、配送协议，并及时报告省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shd w:val="clear" w:fill="FFFFFF"/>
          <w:lang w:val="en-US" w:eastAsia="zh-CN" w:bidi="ar"/>
        </w:rPr>
        <w:t>（三）受托方要严格按照药品GSP的要求，依据委托方提供的票据开展药品储存、配送业务。配合委托方对其委托的药品收货、验收、储存、养护、出库、运输、退货、召回等过程进行管理和控制。承接多家委托业务的，应保证各委托方的经营数据和记录真实、完整、准确、互不干扰和混淆，确保药品信息的全程有效追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40" w:lineRule="atLeast"/>
        <w:ind w:left="0" w:right="0" w:firstLine="672"/>
        <w:jc w:val="both"/>
        <w:rPr>
          <w:rFonts w:hint="eastAsia" w:ascii="宋体" w:hAnsi="宋体" w:eastAsia="宋体" w:cs="宋体"/>
          <w:sz w:val="21"/>
          <w:szCs w:val="21"/>
        </w:rPr>
      </w:pPr>
      <w:r>
        <w:rPr>
          <w:rFonts w:hint="default" w:ascii="仿宋_GB2312" w:hAnsi="宋体" w:eastAsia="仿宋_GB2312" w:cs="仿宋_GB2312"/>
          <w:b w:val="0"/>
          <w:i w:val="0"/>
          <w:caps w:val="0"/>
          <w:color w:val="333333"/>
          <w:spacing w:val="8"/>
          <w:sz w:val="32"/>
          <w:szCs w:val="32"/>
          <w:shd w:val="clear" w:fill="FFFFFF"/>
        </w:rPr>
        <w:t>（四）药品上市许可持有人、药品生产企业应按持有合法有效的药品注册批准文号的品种进行委托储存配送；药品经营企业可将其许可</w:t>
      </w:r>
      <w:r>
        <w:rPr>
          <w:rFonts w:hint="default" w:ascii="仿宋_GB2312" w:hAnsi="宋体" w:eastAsia="仿宋_GB2312" w:cs="仿宋_GB2312"/>
          <w:b w:val="0"/>
          <w:i w:val="0"/>
          <w:caps w:val="0"/>
          <w:color w:val="333333"/>
          <w:spacing w:val="0"/>
          <w:sz w:val="32"/>
          <w:szCs w:val="32"/>
        </w:rPr>
        <w:t>经营范围内药品委托储存配送，冷藏冷冻药品可单独委托。</w:t>
      </w:r>
      <w:r>
        <w:rPr>
          <w:rFonts w:hint="default" w:ascii="仿宋_GB2312" w:hAnsi="宋体" w:eastAsia="仿宋_GB2312" w:cs="仿宋_GB2312"/>
          <w:b w:val="0"/>
          <w:i w:val="0"/>
          <w:caps w:val="0"/>
          <w:color w:val="333333"/>
          <w:spacing w:val="8"/>
          <w:sz w:val="32"/>
          <w:szCs w:val="32"/>
          <w:shd w:val="clear" w:fill="FFFFFF"/>
        </w:rPr>
        <w:t>药品经营企业</w:t>
      </w:r>
      <w:r>
        <w:rPr>
          <w:rFonts w:hint="default" w:ascii="仿宋_GB2312" w:hAnsi="宋体" w:eastAsia="仿宋_GB2312" w:cs="仿宋_GB2312"/>
          <w:b w:val="0"/>
          <w:i w:val="0"/>
          <w:caps w:val="0"/>
          <w:color w:val="333333"/>
          <w:spacing w:val="0"/>
          <w:sz w:val="32"/>
          <w:szCs w:val="32"/>
        </w:rPr>
        <w:t>全项委托(即不保留原注册仓库)的</w:t>
      </w:r>
      <w:r>
        <w:rPr>
          <w:rFonts w:hint="default" w:ascii="仿宋_GB2312" w:hAnsi="宋体" w:eastAsia="仿宋_GB2312" w:cs="仿宋_GB2312"/>
          <w:b w:val="0"/>
          <w:i w:val="0"/>
          <w:caps w:val="0"/>
          <w:color w:val="333333"/>
          <w:spacing w:val="8"/>
          <w:sz w:val="32"/>
          <w:szCs w:val="32"/>
          <w:shd w:val="clear" w:fill="FFFFFF"/>
        </w:rPr>
        <w:t>应申请</w:t>
      </w:r>
      <w:r>
        <w:rPr>
          <w:rFonts w:hint="default" w:ascii="仿宋_GB2312" w:hAnsi="宋体" w:eastAsia="仿宋_GB2312" w:cs="仿宋_GB2312"/>
          <w:b w:val="0"/>
          <w:i w:val="0"/>
          <w:caps w:val="0"/>
          <w:color w:val="333333"/>
          <w:spacing w:val="0"/>
          <w:sz w:val="32"/>
          <w:szCs w:val="32"/>
        </w:rPr>
        <w:t>《药品经营许可证》仓库地址变更为受托方仓库地址，</w:t>
      </w:r>
      <w:r>
        <w:rPr>
          <w:rFonts w:hint="default" w:ascii="仿宋_GB2312" w:hAnsi="宋体" w:eastAsia="仿宋_GB2312" w:cs="仿宋_GB2312"/>
          <w:b w:val="0"/>
          <w:i w:val="0"/>
          <w:caps w:val="0"/>
          <w:color w:val="333333"/>
          <w:spacing w:val="-11"/>
          <w:sz w:val="32"/>
          <w:szCs w:val="32"/>
        </w:rPr>
        <w:t>如终止委托储存、配送,委托方可按原标准建设并办理仓库变更手续。</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72"/>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8"/>
          <w:kern w:val="0"/>
          <w:sz w:val="32"/>
          <w:szCs w:val="32"/>
          <w:shd w:val="clear" w:fill="FFFFFF"/>
          <w:lang w:val="en-US" w:eastAsia="zh-CN" w:bidi="ar"/>
        </w:rPr>
        <w:t>（五）国家规定的麻醉药品、精神药品、医疗用毒性药品、放射性药品等特殊管理药品</w:t>
      </w:r>
      <w:r>
        <w:rPr>
          <w:rFonts w:hint="default" w:ascii="仿宋_GB2312" w:hAnsi="宋体" w:eastAsia="仿宋_GB2312" w:cs="仿宋_GB2312"/>
          <w:b w:val="0"/>
          <w:i w:val="0"/>
          <w:caps w:val="0"/>
          <w:color w:val="333333"/>
          <w:spacing w:val="0"/>
          <w:kern w:val="0"/>
          <w:sz w:val="32"/>
          <w:szCs w:val="32"/>
          <w:lang w:val="en-US" w:eastAsia="zh-CN" w:bidi="ar"/>
        </w:rPr>
        <w:t>不得委托储存、配送。</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lang w:val="en-US" w:eastAsia="zh-CN" w:bidi="ar"/>
        </w:rPr>
        <w:t>（六）药品零售连锁企业不得由受托方直接开具发票至零售门店，但可开具随货清单并标注委托方企业名称。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eastAsia" w:ascii="黑体" w:hAnsi="宋体" w:eastAsia="黑体" w:cs="黑体"/>
          <w:b w:val="0"/>
          <w:i w:val="0"/>
          <w:caps w:val="0"/>
          <w:color w:val="333333"/>
          <w:spacing w:val="0"/>
          <w:kern w:val="0"/>
          <w:sz w:val="32"/>
          <w:szCs w:val="32"/>
          <w:lang w:val="en-US" w:eastAsia="zh-CN" w:bidi="ar"/>
        </w:rPr>
        <w:t>三、加强企业监督管理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4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sz w:val="32"/>
          <w:szCs w:val="32"/>
          <w:shd w:val="clear" w:fill="FFFFFF"/>
        </w:rPr>
        <w:t>（一）落实监管责任。药品储存、配送的委托方、受托方均为省内企业的，其日常监管和监督检查工作，由委托方、受托方所在地的药品监督管理部门负责。省局在组织各类飞行检查、随机抽查、专项检查工作时，对跨地市开展委托储存、配送的企业纳入重点检查范围。</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lang w:val="en-US" w:eastAsia="zh-CN" w:bidi="ar"/>
        </w:rPr>
        <w:t>（二）加强监督检查。药品监管部门要</w:t>
      </w:r>
      <w:r>
        <w:rPr>
          <w:rFonts w:hint="default" w:ascii="仿宋_GB2312" w:hAnsi="宋体" w:eastAsia="仿宋_GB2312" w:cs="仿宋_GB2312"/>
          <w:b w:val="0"/>
          <w:i w:val="0"/>
          <w:caps w:val="0"/>
          <w:color w:val="333333"/>
          <w:spacing w:val="0"/>
          <w:kern w:val="0"/>
          <w:sz w:val="32"/>
          <w:szCs w:val="32"/>
          <w:shd w:val="clear" w:fill="FFFFFF"/>
          <w:lang w:val="en-US" w:eastAsia="zh-CN" w:bidi="ar"/>
        </w:rPr>
        <w:t>采取有效措施，依法加强对</w:t>
      </w:r>
      <w:r>
        <w:rPr>
          <w:rFonts w:hint="default" w:ascii="仿宋_GB2312" w:hAnsi="宋体" w:eastAsia="仿宋_GB2312" w:cs="仿宋_GB2312"/>
          <w:b w:val="0"/>
          <w:i w:val="0"/>
          <w:caps w:val="0"/>
          <w:color w:val="333333"/>
          <w:spacing w:val="0"/>
          <w:kern w:val="0"/>
          <w:sz w:val="32"/>
          <w:szCs w:val="32"/>
          <w:lang w:val="en-US" w:eastAsia="zh-CN" w:bidi="ar"/>
        </w:rPr>
        <w:t>辖区内委托方和药品第三方物流企业</w:t>
      </w:r>
      <w:r>
        <w:rPr>
          <w:rFonts w:hint="default" w:ascii="仿宋_GB2312" w:hAnsi="宋体" w:eastAsia="仿宋_GB2312" w:cs="仿宋_GB2312"/>
          <w:b w:val="0"/>
          <w:i w:val="0"/>
          <w:caps w:val="0"/>
          <w:color w:val="333333"/>
          <w:spacing w:val="0"/>
          <w:kern w:val="0"/>
          <w:sz w:val="32"/>
          <w:szCs w:val="32"/>
          <w:shd w:val="clear" w:fill="FFFFFF"/>
          <w:lang w:val="en-US" w:eastAsia="zh-CN" w:bidi="ar"/>
        </w:rPr>
        <w:t>药品质量、购销渠道、储运条件以及遵守药品GSP等情况的监督检查。</w:t>
      </w:r>
      <w:r>
        <w:rPr>
          <w:rFonts w:hint="default" w:ascii="仿宋_GB2312" w:hAnsi="宋体" w:eastAsia="仿宋_GB2312" w:cs="仿宋_GB2312"/>
          <w:b w:val="0"/>
          <w:i w:val="0"/>
          <w:caps w:val="0"/>
          <w:color w:val="333333"/>
          <w:spacing w:val="0"/>
          <w:kern w:val="0"/>
          <w:sz w:val="32"/>
          <w:szCs w:val="32"/>
          <w:lang w:val="en-US" w:eastAsia="zh-CN" w:bidi="ar"/>
        </w:rPr>
        <w:t>对委托企业的注册地址，重点检查其药品的购销情况、计算机管理系统等；对药品第三方物流企业和分库（异地仓库）重点检查在库药品、仓储条件及设施设备等，必要时可开展延伸检查，切实保障流通环节药品质量安全。</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4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sz w:val="32"/>
          <w:szCs w:val="32"/>
          <w:shd w:val="clear" w:fill="FFFFFF"/>
        </w:rPr>
        <w:t>（三）严格问题查处。对检查中发现</w:t>
      </w:r>
      <w:r>
        <w:rPr>
          <w:rFonts w:hint="default" w:ascii="仿宋_GB2312" w:hAnsi="宋体" w:eastAsia="仿宋_GB2312" w:cs="仿宋_GB2312"/>
          <w:b w:val="0"/>
          <w:i w:val="0"/>
          <w:caps w:val="0"/>
          <w:color w:val="333333"/>
          <w:spacing w:val="0"/>
          <w:sz w:val="32"/>
          <w:szCs w:val="32"/>
        </w:rPr>
        <w:t>药品第三方物流企业存在违反药品GSP等问题的，督促企业限期整改；存在严重违反药品GSP行为的，依法撤销其药品GSP认证证书。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40" w:lineRule="atLeast"/>
        <w:ind w:left="0" w:right="0" w:firstLine="672"/>
        <w:jc w:val="both"/>
        <w:rPr>
          <w:rFonts w:hint="eastAsia" w:ascii="宋体" w:hAnsi="宋体" w:eastAsia="宋体" w:cs="宋体"/>
          <w:sz w:val="21"/>
          <w:szCs w:val="21"/>
        </w:rPr>
      </w:pPr>
      <w:r>
        <w:rPr>
          <w:rFonts w:hint="default" w:ascii="仿宋_GB2312" w:hAnsi="宋体" w:eastAsia="仿宋_GB2312" w:cs="仿宋_GB2312"/>
          <w:b w:val="0"/>
          <w:i w:val="0"/>
          <w:caps w:val="0"/>
          <w:color w:val="333333"/>
          <w:spacing w:val="8"/>
          <w:sz w:val="32"/>
          <w:szCs w:val="32"/>
          <w:shd w:val="clear" w:fill="FFFFFF"/>
        </w:rPr>
        <w:t>（四）</w:t>
      </w:r>
      <w:r>
        <w:rPr>
          <w:rFonts w:hint="default" w:ascii="仿宋_GB2312" w:hAnsi="宋体" w:eastAsia="仿宋_GB2312" w:cs="仿宋_GB2312"/>
          <w:b w:val="0"/>
          <w:i w:val="0"/>
          <w:caps w:val="0"/>
          <w:color w:val="333333"/>
          <w:spacing w:val="0"/>
          <w:sz w:val="32"/>
          <w:szCs w:val="32"/>
          <w:shd w:val="clear" w:fill="FFFFFF"/>
        </w:rPr>
        <w:t>规范</w:t>
      </w:r>
      <w:r>
        <w:rPr>
          <w:rFonts w:hint="default" w:ascii="仿宋_GB2312" w:hAnsi="宋体" w:eastAsia="仿宋_GB2312" w:cs="仿宋_GB2312"/>
          <w:b w:val="0"/>
          <w:i w:val="0"/>
          <w:caps w:val="0"/>
          <w:color w:val="333333"/>
          <w:spacing w:val="8"/>
          <w:sz w:val="32"/>
          <w:szCs w:val="32"/>
          <w:shd w:val="clear" w:fill="FFFFFF"/>
        </w:rPr>
        <w:t>退出管理。药品第三方物流企业停止或终止物流服务的，应及时</w:t>
      </w:r>
      <w:r>
        <w:rPr>
          <w:rFonts w:hint="default" w:ascii="仿宋_GB2312" w:hAnsi="宋体" w:eastAsia="仿宋_GB2312" w:cs="仿宋_GB2312"/>
          <w:b w:val="0"/>
          <w:i w:val="0"/>
          <w:caps w:val="0"/>
          <w:color w:val="333333"/>
          <w:spacing w:val="0"/>
          <w:sz w:val="32"/>
          <w:szCs w:val="32"/>
          <w:shd w:val="clear" w:fill="FFFFFF"/>
        </w:rPr>
        <w:t>通过企业自建网站或第三方媒体、网站等渠</w:t>
      </w:r>
      <w:r>
        <w:rPr>
          <w:rFonts w:hint="default" w:ascii="仿宋_GB2312" w:hAnsi="宋体" w:eastAsia="仿宋_GB2312" w:cs="仿宋_GB2312"/>
          <w:b w:val="0"/>
          <w:i w:val="0"/>
          <w:caps w:val="0"/>
          <w:color w:val="333333"/>
          <w:spacing w:val="-11"/>
          <w:sz w:val="32"/>
          <w:szCs w:val="32"/>
          <w:shd w:val="clear" w:fill="FFFFFF"/>
        </w:rPr>
        <w:t>道，发布停止或终止药品第三方物流业务信息，并及时告知省局。</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128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lang w:val="en-US" w:eastAsia="zh-CN" w:bidi="ar"/>
        </w:rPr>
        <w:t>附件：1.福建省药品第三方物流企业技术指南（试行）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128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lang w:val="en-US" w:eastAsia="zh-CN" w:bidi="ar"/>
        </w:rPr>
        <w:t>2.药品第三方物流企业报告事项及相关资料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32" w:beforeAutospacing="0" w:after="632" w:afterAutospacing="0" w:line="21" w:lineRule="atLeast"/>
        <w:ind w:left="0" w:right="0"/>
        <w:rPr>
          <w:rFonts w:hint="eastAsia" w:ascii="宋体" w:hAnsi="宋体" w:eastAsia="宋体" w:cs="宋体"/>
          <w:sz w:val="21"/>
          <w:szCs w:val="21"/>
        </w:rPr>
      </w:pPr>
      <w:r>
        <w:rPr>
          <w:rFonts w:hint="eastAsia" w:ascii="宋体" w:hAnsi="宋体" w:eastAsia="宋体" w:cs="宋体"/>
          <w:i w:val="0"/>
          <w:caps w:val="0"/>
          <w:color w:val="333333"/>
          <w:spacing w:val="0"/>
          <w:sz w:val="21"/>
          <w:szCs w:val="21"/>
        </w:rPr>
        <w:t>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480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lang w:val="en-US" w:eastAsia="zh-CN" w:bidi="ar"/>
        </w:rPr>
        <w:t>福建省药品监督管理局</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lang w:val="en-US" w:eastAsia="zh-CN" w:bidi="ar"/>
        </w:rPr>
        <w:t>                                                                      2019年6月13日</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kern w:val="0"/>
          <w:sz w:val="32"/>
          <w:szCs w:val="32"/>
          <w:lang w:val="en-US" w:eastAsia="zh-CN" w:bidi="ar"/>
        </w:rPr>
        <w:t>（公开属性：主动公开）</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left="0" w:right="0" w:firstLine="640"/>
        <w:jc w:val="left"/>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right="0"/>
        <w:jc w:val="left"/>
        <w:rPr>
          <w:rFonts w:hint="eastAsia" w:ascii="黑体" w:hAnsi="宋体" w:eastAsia="黑体" w:cs="黑体"/>
          <w:b w:val="0"/>
          <w:i w:val="0"/>
          <w:caps w:val="0"/>
          <w:color w:val="000000"/>
          <w:spacing w:val="0"/>
          <w:sz w:val="32"/>
          <w:szCs w:val="32"/>
          <w:shd w:val="clear" w:fill="FFFFFF"/>
        </w:rPr>
      </w:pPr>
      <w:r>
        <w:rPr>
          <w:rFonts w:hint="eastAsia" w:ascii="黑体" w:hAnsi="宋体" w:eastAsia="黑体" w:cs="黑体"/>
          <w:b w:val="0"/>
          <w:i w:val="0"/>
          <w:caps w:val="0"/>
          <w:color w:val="000000"/>
          <w:spacing w:val="0"/>
          <w:sz w:val="32"/>
          <w:szCs w:val="32"/>
          <w:shd w:val="clear" w:fill="FFFFFF"/>
        </w:rPr>
        <w:t>附件1</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40" w:lineRule="atLeast"/>
        <w:ind w:right="0"/>
        <w:jc w:val="left"/>
        <w:rPr>
          <w:b w:val="0"/>
          <w:sz w:val="21"/>
          <w:szCs w:val="21"/>
        </w:rPr>
      </w:pPr>
      <w:r>
        <w:rPr>
          <w:rFonts w:ascii="方正小标宋_GBK" w:hAnsi="方正小标宋_GBK" w:eastAsia="方正小标宋_GBK" w:cs="方正小标宋_GBK"/>
          <w:b w:val="0"/>
          <w:i w:val="0"/>
          <w:caps w:val="0"/>
          <w:color w:val="000000"/>
          <w:spacing w:val="0"/>
          <w:sz w:val="36"/>
          <w:szCs w:val="36"/>
          <w:shd w:val="clear" w:fill="FFFFFF"/>
        </w:rPr>
        <w:t>          福建省药品</w:t>
      </w:r>
      <w:r>
        <w:rPr>
          <w:rFonts w:hint="default" w:ascii="方正小标宋_GBK" w:hAnsi="方正小标宋_GBK" w:eastAsia="方正小标宋_GBK" w:cs="方正小标宋_GBK"/>
          <w:b w:val="0"/>
          <w:i w:val="0"/>
          <w:caps w:val="0"/>
          <w:color w:val="000000"/>
          <w:spacing w:val="0"/>
          <w:sz w:val="36"/>
          <w:szCs w:val="36"/>
          <w:shd w:val="clear" w:fill="FFFFFF"/>
        </w:rPr>
        <w:t>第三方物流技术指南（试行）</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632" w:beforeAutospacing="0" w:after="632" w:afterAutospacing="0" w:line="21" w:lineRule="atLeast"/>
        <w:ind w:left="0" w:right="0"/>
        <w:rPr>
          <w:b w:val="0"/>
          <w:sz w:val="21"/>
          <w:szCs w:val="21"/>
        </w:rPr>
      </w:pPr>
      <w:r>
        <w:rPr>
          <w:b w:val="0"/>
          <w:i w:val="0"/>
          <w:caps w:val="0"/>
          <w:color w:val="333333"/>
          <w:spacing w:val="0"/>
          <w:sz w:val="21"/>
          <w:szCs w:val="21"/>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632" w:beforeAutospacing="0" w:after="632" w:afterAutospacing="0" w:line="21" w:lineRule="atLeast"/>
        <w:ind w:left="0" w:right="0"/>
        <w:rPr>
          <w:b w:val="0"/>
          <w:sz w:val="21"/>
          <w:szCs w:val="21"/>
        </w:rPr>
      </w:pPr>
      <w:r>
        <w:rPr>
          <w:rFonts w:hint="eastAsia" w:ascii="黑体" w:hAnsi="宋体" w:eastAsia="黑体" w:cs="黑体"/>
          <w:b w:val="0"/>
          <w:i w:val="0"/>
          <w:caps w:val="0"/>
          <w:color w:val="000000"/>
          <w:spacing w:val="0"/>
          <w:sz w:val="32"/>
          <w:szCs w:val="32"/>
        </w:rPr>
        <w:t>第一章</w:t>
      </w:r>
      <w:r>
        <w:rPr>
          <w:b w:val="0"/>
          <w:i w:val="0"/>
          <w:caps w:val="0"/>
          <w:color w:val="333333"/>
          <w:spacing w:val="0"/>
          <w:sz w:val="21"/>
          <w:szCs w:val="21"/>
        </w:rPr>
        <w:t> </w:t>
      </w:r>
      <w:r>
        <w:rPr>
          <w:rFonts w:hint="eastAsia" w:ascii="黑体" w:hAnsi="宋体" w:eastAsia="黑体" w:cs="黑体"/>
          <w:b w:val="0"/>
          <w:i w:val="0"/>
          <w:caps w:val="0"/>
          <w:color w:val="000000"/>
          <w:spacing w:val="0"/>
          <w:sz w:val="32"/>
          <w:szCs w:val="32"/>
        </w:rPr>
        <w:t>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632" w:beforeAutospacing="0" w:after="632" w:afterAutospacing="0" w:line="21" w:lineRule="atLeast"/>
        <w:ind w:left="0" w:right="0"/>
        <w:rPr>
          <w:b w:val="0"/>
          <w:sz w:val="21"/>
          <w:szCs w:val="21"/>
        </w:rPr>
      </w:pPr>
      <w:r>
        <w:rPr>
          <w:rFonts w:hint="default" w:ascii="仿宋_GB2312" w:eastAsia="仿宋_GB2312" w:cs="仿宋_GB2312"/>
          <w:b w:val="0"/>
          <w:i w:val="0"/>
          <w:caps w:val="0"/>
          <w:color w:val="000000"/>
          <w:spacing w:val="0"/>
          <w:sz w:val="32"/>
          <w:szCs w:val="32"/>
        </w:rPr>
        <w:t>第一条 根据《福建省政府办公厅关于进一步改革完善药品生产流通使用政策的实施意见》（闽政办〔2017〕99号），为促进本省药品经营企业物流产业发展，规范药品经营企业物流管理和技术标准，依据《药品管理法》、《药品经营许可证管理办法》、《药品经营质量管理规范》（以下简称药品GSP）和《福建省食品药品监督管理局关于促进药品现代物流发展的意见》（食药监办药流〔2014〕218号）（以下简称《意见》）等相关法规要求，结合本省实际，制定本技术指南。《意见》与本技术指南不一致的内容，以本指南为准。</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第二条 本指南推荐适用于福建省辖区内具备药品现代物流条件的企业开展药品第三方物流经营活动。鼓励《全国流通节点城市布局规划（2015-2020年）》中的国家级流通节点城市及区域级流通节点城市率先开展药品第三方物流经营活动。</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药品现代物流是指依托现代化物流设备、技术和信息管理等手段，通过专业化物流服务体系，优化药品</w:t>
      </w:r>
      <w:r>
        <w:rPr>
          <w:rFonts w:hint="default" w:ascii="仿宋_GB2312" w:hAnsi="宋体" w:eastAsia="仿宋_GB2312" w:cs="仿宋_GB2312"/>
          <w:i w:val="0"/>
          <w:caps w:val="0"/>
          <w:color w:val="000000"/>
          <w:spacing w:val="0"/>
          <w:kern w:val="0"/>
          <w:sz w:val="32"/>
          <w:szCs w:val="32"/>
          <w:lang w:val="en-US" w:eastAsia="zh-CN" w:bidi="ar"/>
        </w:rPr>
        <w:t>收货、验收、上架、输送、拣选、储存、养护、分拣、出库、复核、集货、调度、运输、配送、运营、回单管理</w:t>
      </w:r>
      <w:r>
        <w:rPr>
          <w:rFonts w:hint="default" w:ascii="仿宋_GB2312" w:hAnsi="宋体" w:eastAsia="仿宋_GB2312" w:cs="仿宋_GB2312"/>
          <w:i w:val="0"/>
          <w:caps w:val="0"/>
          <w:color w:val="333333"/>
          <w:spacing w:val="0"/>
          <w:kern w:val="0"/>
          <w:sz w:val="32"/>
          <w:szCs w:val="32"/>
          <w:lang w:val="en-US" w:eastAsia="zh-CN" w:bidi="ar"/>
        </w:rPr>
        <w:t>、信息管理等</w:t>
      </w:r>
      <w:r>
        <w:rPr>
          <w:rFonts w:hint="default" w:ascii="仿宋_GB2312" w:hAnsi="宋体" w:eastAsia="仿宋_GB2312" w:cs="仿宋_GB2312"/>
          <w:i w:val="0"/>
          <w:caps w:val="0"/>
          <w:color w:val="000000"/>
          <w:spacing w:val="0"/>
          <w:kern w:val="0"/>
          <w:sz w:val="32"/>
          <w:szCs w:val="32"/>
          <w:lang w:val="en-US" w:eastAsia="zh-CN" w:bidi="ar"/>
        </w:rPr>
        <w:t>作业过程</w:t>
      </w:r>
      <w:r>
        <w:rPr>
          <w:rFonts w:hint="default" w:ascii="仿宋_GB2312" w:hAnsi="宋体" w:eastAsia="仿宋_GB2312" w:cs="仿宋_GB2312"/>
          <w:i w:val="0"/>
          <w:caps w:val="0"/>
          <w:color w:val="333333"/>
          <w:spacing w:val="0"/>
          <w:kern w:val="0"/>
          <w:sz w:val="32"/>
          <w:szCs w:val="32"/>
          <w:lang w:val="en-US" w:eastAsia="zh-CN" w:bidi="ar"/>
        </w:rPr>
        <w:t>，实现药品物流作业</w:t>
      </w:r>
      <w:r>
        <w:rPr>
          <w:rFonts w:hint="default" w:ascii="仿宋_GB2312" w:hAnsi="宋体" w:eastAsia="仿宋_GB2312" w:cs="仿宋_GB2312"/>
          <w:b/>
          <w:i w:val="0"/>
          <w:caps w:val="0"/>
          <w:color w:val="333333"/>
          <w:spacing w:val="0"/>
          <w:kern w:val="0"/>
          <w:sz w:val="32"/>
          <w:szCs w:val="32"/>
          <w:lang w:val="en-US" w:eastAsia="zh-CN" w:bidi="ar"/>
        </w:rPr>
        <w:t>的规模化、标准化、集约化、信息化、智能化</w:t>
      </w:r>
      <w:r>
        <w:rPr>
          <w:rFonts w:hint="default" w:ascii="仿宋_GB2312" w:hAnsi="宋体" w:eastAsia="仿宋_GB2312" w:cs="仿宋_GB2312"/>
          <w:i w:val="0"/>
          <w:caps w:val="0"/>
          <w:color w:val="333333"/>
          <w:spacing w:val="0"/>
          <w:kern w:val="0"/>
          <w:sz w:val="32"/>
          <w:szCs w:val="32"/>
          <w:lang w:val="en-US" w:eastAsia="zh-CN" w:bidi="ar"/>
        </w:rPr>
        <w:t>管理，提升药品物流服务水平，降低药品物流运营成本，保障药品供应及时和质量安全。</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第三条 本指南为具备现代物流条件的企业开展药品第三方物流业务提供技术指导和质量管理意见，供从事药品第三方物流服务业务的企业和药品监管部门借鉴和参考。</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 第四条 从事药品第三方物流业务企业坚持减少        交易成本、提高流通效率、信息公开原则，诚实守信，依法经营，确保经营全过程的药品质量安全。</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2880"/>
        <w:jc w:val="left"/>
        <w:rPr>
          <w:rFonts w:hint="eastAsia" w:ascii="宋体" w:hAnsi="宋体" w:eastAsia="宋体" w:cs="宋体"/>
          <w:sz w:val="21"/>
          <w:szCs w:val="21"/>
        </w:rPr>
      </w:pPr>
      <w:r>
        <w:rPr>
          <w:rFonts w:hint="eastAsia" w:ascii="黑体" w:hAnsi="宋体" w:eastAsia="黑体" w:cs="黑体"/>
          <w:b w:val="0"/>
          <w:i w:val="0"/>
          <w:caps w:val="0"/>
          <w:color w:val="000000"/>
          <w:spacing w:val="0"/>
          <w:kern w:val="0"/>
          <w:sz w:val="32"/>
          <w:szCs w:val="32"/>
          <w:lang w:val="en-US" w:eastAsia="zh-CN" w:bidi="ar"/>
        </w:rPr>
        <w:t>第二章</w:t>
      </w:r>
      <w:r>
        <w:rPr>
          <w:rFonts w:hint="eastAsia" w:ascii="宋体" w:hAnsi="宋体" w:eastAsia="宋体" w:cs="宋体"/>
          <w:i w:val="0"/>
          <w:caps w:val="0"/>
          <w:color w:val="333333"/>
          <w:spacing w:val="0"/>
          <w:kern w:val="0"/>
          <w:sz w:val="21"/>
          <w:szCs w:val="21"/>
          <w:lang w:val="en-US" w:eastAsia="zh-CN" w:bidi="ar"/>
        </w:rPr>
        <w:t> </w:t>
      </w:r>
      <w:r>
        <w:rPr>
          <w:rFonts w:hint="eastAsia" w:ascii="黑体" w:hAnsi="宋体" w:eastAsia="黑体" w:cs="黑体"/>
          <w:b w:val="0"/>
          <w:i w:val="0"/>
          <w:caps w:val="0"/>
          <w:color w:val="000000"/>
          <w:spacing w:val="0"/>
          <w:kern w:val="0"/>
          <w:sz w:val="32"/>
          <w:szCs w:val="32"/>
          <w:lang w:val="en-US" w:eastAsia="zh-CN" w:bidi="ar"/>
        </w:rPr>
        <w:t>机构与人员</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第五条 企业设置与其药品第三方物流经营规模和业务范围相适应的质量管理机构、</w:t>
      </w:r>
      <w:r>
        <w:rPr>
          <w:rFonts w:hint="default" w:ascii="仿宋_GB2312" w:hAnsi="宋体" w:eastAsia="仿宋_GB2312" w:cs="仿宋_GB2312"/>
          <w:i w:val="0"/>
          <w:caps w:val="0"/>
          <w:color w:val="333333"/>
          <w:spacing w:val="0"/>
          <w:kern w:val="0"/>
          <w:sz w:val="32"/>
          <w:szCs w:val="32"/>
          <w:lang w:val="en-US" w:eastAsia="zh-CN" w:bidi="ar"/>
        </w:rPr>
        <w:t>物流管理机构（包含仓储和运配机构），并</w:t>
      </w:r>
      <w:r>
        <w:rPr>
          <w:rFonts w:hint="default" w:ascii="仿宋_GB2312" w:hAnsi="宋体" w:eastAsia="仿宋_GB2312" w:cs="仿宋_GB2312"/>
          <w:i w:val="0"/>
          <w:caps w:val="0"/>
          <w:color w:val="000000"/>
          <w:spacing w:val="0"/>
          <w:kern w:val="0"/>
          <w:sz w:val="32"/>
          <w:szCs w:val="32"/>
          <w:lang w:val="en-US" w:eastAsia="zh-CN" w:bidi="ar"/>
        </w:rPr>
        <w:t>配备相应的药品质量管理、验收、养护、设施设备维护保养、物流管理、信息技术管理等专业技术人员。</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第六条 企业设置专门的物流管理部门，统一负责企业物流和委托物流的管理工作，并实现各部门之间实现“六统一”管理：即统一质量管理，统一经营管理、统一信息平台、统一操作系统、统一温湿度监控系统、统一调度车辆。</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第七条 企业配备与经营规模相适应的物流及计算机专业技术人员、专门的设施设备维护保养人员。物流相关专业毕业的大学专科及以上学历</w:t>
      </w:r>
      <w:r>
        <w:rPr>
          <w:rFonts w:hint="default" w:ascii="仿宋_GB2312" w:hAnsi="宋体" w:eastAsia="仿宋_GB2312" w:cs="仿宋_GB2312"/>
          <w:i w:val="0"/>
          <w:caps w:val="0"/>
          <w:color w:val="333333"/>
          <w:spacing w:val="0"/>
          <w:kern w:val="0"/>
          <w:sz w:val="32"/>
          <w:szCs w:val="32"/>
          <w:lang w:val="en-US" w:eastAsia="zh-CN" w:bidi="ar"/>
        </w:rPr>
        <w:t>或取得物流师以上专业资格认证的人</w:t>
      </w:r>
      <w:r>
        <w:rPr>
          <w:rFonts w:hint="default" w:ascii="仿宋_GB2312" w:hAnsi="宋体" w:eastAsia="仿宋_GB2312" w:cs="仿宋_GB2312"/>
          <w:i w:val="0"/>
          <w:caps w:val="0"/>
          <w:color w:val="000000"/>
          <w:spacing w:val="0"/>
          <w:kern w:val="0"/>
          <w:sz w:val="32"/>
          <w:szCs w:val="32"/>
          <w:lang w:val="en-US" w:eastAsia="zh-CN" w:bidi="ar"/>
        </w:rPr>
        <w:t>员不少于2人，计算机相关专业毕业的本科及以上学历人员或获得计算机网络管理员职业资格证书（中级职称）的计算机技术人员不少于1人。设施设备维护保养人员应取得相应的资质。</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 第八条 企业质量负责人、质量管理部门负责人、质量管理员、验收员、养护员等人员资质应符合药品GSP要求。</w:t>
      </w:r>
      <w:r>
        <w:rPr>
          <w:rFonts w:hint="default" w:ascii="仿宋_GB2312" w:hAnsi="宋体" w:eastAsia="仿宋_GB2312" w:cs="仿宋_GB2312"/>
          <w:i w:val="0"/>
          <w:caps w:val="0"/>
          <w:color w:val="333333"/>
          <w:spacing w:val="0"/>
          <w:kern w:val="0"/>
          <w:sz w:val="32"/>
          <w:szCs w:val="32"/>
          <w:lang w:val="en-US" w:eastAsia="zh-CN" w:bidi="ar"/>
        </w:rPr>
        <w:t>承担中药</w:t>
      </w:r>
      <w:r>
        <w:rPr>
          <w:rFonts w:hint="default" w:ascii="仿宋_GB2312" w:hAnsi="宋体" w:eastAsia="仿宋_GB2312" w:cs="仿宋_GB2312"/>
          <w:i w:val="0"/>
          <w:caps w:val="0"/>
          <w:color w:val="333333"/>
          <w:spacing w:val="-11"/>
          <w:kern w:val="0"/>
          <w:sz w:val="32"/>
          <w:szCs w:val="32"/>
          <w:lang w:val="en-US" w:eastAsia="zh-CN" w:bidi="ar"/>
        </w:rPr>
        <w:t>材、中药饮片第三方物流业务的，配备中药师以上职称的人员。</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 第九条 企业对各岗位人员进行与其职责和工作内容相关的药品质量管理和现代物流相关的岗前培训和继续培训，并经考核合格后方可上岗。培训内容包括《药品管理法》、药品GSP、现代物流等相关法律法规、企业内部的物流流程运作、设施设备使用与维护保养、物流信息化管理、药品专业知识及技能、质量管理制度、职责及岗位操作规程等。企业做好培训工作记录并建立档案。</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第十条 企业制定员工个人卫生管理、劳动保护、安全生产等制度，确保企业生产安全和员工符合劳动防护有关要求。</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2240"/>
        <w:jc w:val="left"/>
        <w:rPr>
          <w:rFonts w:hint="eastAsia" w:ascii="宋体" w:hAnsi="宋体" w:eastAsia="宋体" w:cs="宋体"/>
          <w:sz w:val="21"/>
          <w:szCs w:val="21"/>
        </w:rPr>
      </w:pPr>
      <w:r>
        <w:rPr>
          <w:rFonts w:hint="eastAsia" w:ascii="黑体" w:hAnsi="宋体" w:eastAsia="黑体" w:cs="黑体"/>
          <w:b w:val="0"/>
          <w:i w:val="0"/>
          <w:caps w:val="0"/>
          <w:color w:val="000000"/>
          <w:spacing w:val="0"/>
          <w:kern w:val="0"/>
          <w:sz w:val="32"/>
          <w:szCs w:val="32"/>
          <w:lang w:val="en-US" w:eastAsia="zh-CN" w:bidi="ar"/>
        </w:rPr>
        <w:t>第三章 质量管理与制度</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第十一条 企业开展药品第三方物流工作应当符合药品GSP规定，遵守并执行药品GSP对药品质量管理的要求。</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（一）制定符合药品现代物流管理要求，能够保证药品质量的管理体系文件，包括质量管理制度、岗位操作规程、作业指导书和相关记录等。</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（二）质量管理制度内容一般包括：</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1．有关部门、人员和岗位的药品质量职责；</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2．对委托方委托储存和配送药品审核的规定；</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3．与委托方进行信息交换的规定；</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4．药品物流管理与质量保证的制度；</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5．药品GSP等要求制定的质量管理制度，或相关监管部门认为需要制定的其他管理文件。</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（三）制定符合GSP要求的药品收货、验收、储存、养护、出库、复核、配送、运输等环节及计算机系统的岗位操作规程。</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4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四）企业对委托方资质进行审核，与委托方签订质量保证协议，明确双方义务和责任，委托方应对药品来源与销售渠道的合法性负责；被委托方对委托期间的药品质量安全负责。协议内容至少包括：委托储存、配送药品的范围及期限；药品交验程序、质量责任；收货入库、储藏养护、发货运输、在途送货、售后服务；退回药品管理及不合格药品管理；质量管理责任人；物流服务项目、物流信息管理、标准、违约责任等。</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40" w:lineRule="atLeast"/>
        <w:ind w:left="0" w:right="0" w:firstLine="3200"/>
        <w:jc w:val="left"/>
        <w:rPr>
          <w:rFonts w:hint="eastAsia" w:ascii="宋体" w:hAnsi="宋体" w:eastAsia="宋体" w:cs="宋体"/>
          <w:sz w:val="21"/>
          <w:szCs w:val="21"/>
        </w:rPr>
      </w:pPr>
      <w:r>
        <w:rPr>
          <w:rFonts w:hint="eastAsia" w:ascii="黑体" w:hAnsi="宋体" w:eastAsia="黑体" w:cs="黑体"/>
          <w:b w:val="0"/>
          <w:i w:val="0"/>
          <w:caps w:val="0"/>
          <w:color w:val="000000"/>
          <w:spacing w:val="0"/>
          <w:kern w:val="0"/>
          <w:sz w:val="32"/>
          <w:szCs w:val="32"/>
          <w:lang w:val="en-US" w:eastAsia="zh-CN" w:bidi="ar"/>
        </w:rPr>
        <w:t>第四章</w:t>
      </w:r>
      <w:r>
        <w:rPr>
          <w:rFonts w:hint="eastAsia" w:ascii="宋体" w:hAnsi="宋体" w:eastAsia="宋体" w:cs="宋体"/>
          <w:i w:val="0"/>
          <w:caps w:val="0"/>
          <w:color w:val="333333"/>
          <w:spacing w:val="0"/>
          <w:kern w:val="0"/>
          <w:sz w:val="21"/>
          <w:szCs w:val="21"/>
          <w:lang w:val="en-US" w:eastAsia="zh-CN" w:bidi="ar"/>
        </w:rPr>
        <w:t> </w:t>
      </w:r>
      <w:r>
        <w:rPr>
          <w:rFonts w:hint="eastAsia" w:ascii="黑体" w:hAnsi="宋体" w:eastAsia="黑体" w:cs="黑体"/>
          <w:b w:val="0"/>
          <w:i w:val="0"/>
          <w:caps w:val="0"/>
          <w:color w:val="000000"/>
          <w:spacing w:val="0"/>
          <w:kern w:val="0"/>
          <w:sz w:val="32"/>
          <w:szCs w:val="32"/>
          <w:lang w:val="en-US" w:eastAsia="zh-CN" w:bidi="ar"/>
        </w:rPr>
        <w:t>设施与设备</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40" w:lineRule="atLeast"/>
        <w:ind w:left="0" w:right="0" w:firstLine="628"/>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3"/>
          <w:kern w:val="0"/>
          <w:sz w:val="32"/>
          <w:szCs w:val="32"/>
          <w:lang w:val="en-US" w:eastAsia="zh-CN" w:bidi="ar"/>
        </w:rPr>
        <w:t>第十二条</w:t>
      </w: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000000"/>
          <w:spacing w:val="-3"/>
          <w:kern w:val="0"/>
          <w:sz w:val="32"/>
          <w:szCs w:val="32"/>
          <w:lang w:val="en-US" w:eastAsia="zh-CN" w:bidi="ar"/>
        </w:rPr>
        <w:t>企业具有与经营规模和业务范围相适应的</w:t>
      </w:r>
      <w:r>
        <w:rPr>
          <w:rFonts w:hint="default" w:ascii="仿宋_GB2312" w:hAnsi="宋体" w:eastAsia="仿宋_GB2312" w:cs="仿宋_GB2312"/>
          <w:i w:val="0"/>
          <w:caps w:val="0"/>
          <w:color w:val="333333"/>
          <w:spacing w:val="-3"/>
          <w:kern w:val="0"/>
          <w:sz w:val="32"/>
          <w:szCs w:val="32"/>
          <w:lang w:val="en-US" w:eastAsia="zh-CN" w:bidi="ar"/>
        </w:rPr>
        <w:t>自主产权、股权关联企业产权或租赁的</w:t>
      </w:r>
      <w:r>
        <w:rPr>
          <w:rFonts w:hint="default" w:ascii="仿宋_GB2312" w:hAnsi="宋体" w:eastAsia="仿宋_GB2312" w:cs="仿宋_GB2312"/>
          <w:i w:val="0"/>
          <w:caps w:val="0"/>
          <w:color w:val="000000"/>
          <w:spacing w:val="-3"/>
          <w:kern w:val="0"/>
          <w:sz w:val="32"/>
          <w:szCs w:val="32"/>
          <w:lang w:val="en-US" w:eastAsia="zh-CN" w:bidi="ar"/>
        </w:rPr>
        <w:t>现代物流药品仓库，库房的建筑面积不少于</w:t>
      </w:r>
      <w:r>
        <w:rPr>
          <w:rFonts w:hint="default" w:ascii="仿宋_GB2312" w:hAnsi="宋体" w:eastAsia="仿宋_GB2312" w:cs="仿宋_GB2312"/>
          <w:i w:val="0"/>
          <w:caps w:val="0"/>
          <w:color w:val="333333"/>
          <w:spacing w:val="-3"/>
          <w:kern w:val="0"/>
          <w:sz w:val="32"/>
          <w:szCs w:val="32"/>
          <w:lang w:val="en-US" w:eastAsia="zh-CN" w:bidi="ar"/>
        </w:rPr>
        <w:t>20000平</w:t>
      </w:r>
      <w:r>
        <w:rPr>
          <w:rFonts w:hint="default" w:ascii="仿宋_GB2312" w:hAnsi="宋体" w:eastAsia="仿宋_GB2312" w:cs="仿宋_GB2312"/>
          <w:i w:val="0"/>
          <w:caps w:val="0"/>
          <w:color w:val="000000"/>
          <w:spacing w:val="-3"/>
          <w:kern w:val="0"/>
          <w:sz w:val="32"/>
          <w:szCs w:val="32"/>
          <w:lang w:val="en-US" w:eastAsia="zh-CN" w:bidi="ar"/>
        </w:rPr>
        <w:t>方米，层高满足</w:t>
      </w:r>
      <w:r>
        <w:rPr>
          <w:rFonts w:hint="default" w:ascii="仿宋_GB2312" w:hAnsi="宋体" w:eastAsia="仿宋_GB2312" w:cs="仿宋_GB2312"/>
          <w:i w:val="0"/>
          <w:caps w:val="0"/>
          <w:color w:val="333333"/>
          <w:spacing w:val="-3"/>
          <w:kern w:val="0"/>
          <w:sz w:val="32"/>
          <w:szCs w:val="32"/>
          <w:lang w:val="en-US" w:eastAsia="zh-CN" w:bidi="ar"/>
        </w:rPr>
        <w:t>企业经营药品第三方物流作业的需要</w:t>
      </w:r>
      <w:r>
        <w:rPr>
          <w:rFonts w:hint="default" w:ascii="仿宋_GB2312" w:hAnsi="宋体" w:eastAsia="仿宋_GB2312" w:cs="仿宋_GB2312"/>
          <w:i w:val="0"/>
          <w:caps w:val="0"/>
          <w:color w:val="000000"/>
          <w:spacing w:val="-3"/>
          <w:kern w:val="0"/>
          <w:sz w:val="32"/>
          <w:szCs w:val="32"/>
          <w:lang w:val="en-US" w:eastAsia="zh-CN" w:bidi="ar"/>
        </w:rPr>
        <w:t>。根据经营业务需求设置自动化立体仓库或高架库。</w:t>
      </w:r>
      <w:r>
        <w:rPr>
          <w:rFonts w:hint="default" w:ascii="仿宋_GB2312" w:hAnsi="宋体" w:eastAsia="仿宋_GB2312" w:cs="仿宋_GB2312"/>
          <w:i w:val="0"/>
          <w:caps w:val="0"/>
          <w:color w:val="333333"/>
          <w:spacing w:val="-3"/>
          <w:kern w:val="0"/>
          <w:sz w:val="32"/>
          <w:szCs w:val="32"/>
          <w:lang w:val="en-US" w:eastAsia="zh-CN" w:bidi="ar"/>
        </w:rPr>
        <w:t>经营冷藏冷冻药品第三方物流业务的，设置至少2个独立冷库，冷库总容积不低于2000立方米（专营药品第三方物流冷链业务的冷库总容积不低于5000立方米，层高不得低于7米）并设有缓冲库，以</w:t>
      </w:r>
      <w:r>
        <w:rPr>
          <w:rFonts w:hint="default" w:ascii="仿宋_GB2312" w:hAnsi="宋体" w:eastAsia="仿宋_GB2312" w:cs="仿宋_GB2312"/>
          <w:i w:val="0"/>
          <w:caps w:val="0"/>
          <w:color w:val="000000"/>
          <w:spacing w:val="0"/>
          <w:kern w:val="0"/>
          <w:sz w:val="32"/>
          <w:szCs w:val="32"/>
          <w:lang w:val="en-US" w:eastAsia="zh-CN" w:bidi="ar"/>
        </w:rPr>
        <w:t>实现冷库与冷藏车无缝对接</w:t>
      </w:r>
      <w:r>
        <w:rPr>
          <w:rFonts w:hint="default" w:ascii="仿宋_GB2312" w:hAnsi="宋体" w:eastAsia="仿宋_GB2312" w:cs="仿宋_GB2312"/>
          <w:i w:val="0"/>
          <w:caps w:val="0"/>
          <w:color w:val="333333"/>
          <w:spacing w:val="0"/>
          <w:kern w:val="0"/>
          <w:sz w:val="32"/>
          <w:szCs w:val="32"/>
          <w:lang w:val="en-US" w:eastAsia="zh-CN" w:bidi="ar"/>
        </w:rPr>
        <w:t>。承担中药材、中药饮片受托储存配送业务的，根据需要设置专用存储、分拣场所。</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第十三条</w:t>
      </w: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333333"/>
          <w:spacing w:val="0"/>
          <w:kern w:val="0"/>
          <w:sz w:val="32"/>
          <w:szCs w:val="32"/>
          <w:lang w:val="en-US" w:eastAsia="zh-CN" w:bidi="ar"/>
        </w:rPr>
        <w:t>仓库（常温库、阴凉库、冷库）的设置和作业区域（包括储存区、拣选作业区、集货配送区等）的划分科学、合理，符合药品GSP要求，能够与企业经营规模和业务需求相匹配，满足物流作业流程和经营业务的需要，温湿度控制及监测严格执行药品GSP规定。</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000000"/>
          <w:spacing w:val="0"/>
          <w:kern w:val="0"/>
          <w:sz w:val="32"/>
          <w:szCs w:val="32"/>
          <w:lang w:val="en-US" w:eastAsia="zh-CN" w:bidi="ar"/>
        </w:rPr>
        <w:t>第十四条</w:t>
      </w: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333333"/>
          <w:spacing w:val="0"/>
          <w:kern w:val="0"/>
          <w:sz w:val="32"/>
          <w:szCs w:val="32"/>
          <w:lang w:val="en-US" w:eastAsia="zh-CN" w:bidi="ar"/>
        </w:rPr>
        <w:t>企业仓库</w:t>
      </w:r>
      <w:r>
        <w:rPr>
          <w:rFonts w:hint="default" w:ascii="仿宋_GB2312" w:hAnsi="宋体" w:eastAsia="仿宋_GB2312" w:cs="仿宋_GB2312"/>
          <w:i w:val="0"/>
          <w:caps w:val="0"/>
          <w:color w:val="000000"/>
          <w:spacing w:val="0"/>
          <w:kern w:val="0"/>
          <w:sz w:val="32"/>
          <w:szCs w:val="32"/>
          <w:lang w:val="en-US" w:eastAsia="zh-CN" w:bidi="ar"/>
        </w:rPr>
        <w:t>设置自动化管理系统，实现自动化立体存储、自动箱式输送、自动分拣、电子监控管理、无纸化拣货等功能，协调、调度、监控各类设备有效运行。采用信息化手段完成药品收货、验收、上架、输送、拣选、复核、分拣、集货、调度、运输、配送、回单管理等作业的数据采集和记录。</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第十五条</w:t>
      </w: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000000"/>
          <w:spacing w:val="0"/>
          <w:kern w:val="0"/>
          <w:sz w:val="32"/>
          <w:szCs w:val="32"/>
          <w:lang w:val="en-US" w:eastAsia="zh-CN" w:bidi="ar"/>
        </w:rPr>
        <w:t>仓储设施设备按药品GSP要求和满足物流作业需求配备，主要由入库管理设备、货物信息自动识别设备、货架系统、堆垛及装卸搬运设备、库内输送设备、分拣及出库设备、监</w:t>
      </w:r>
      <w:r>
        <w:rPr>
          <w:rFonts w:hint="default" w:ascii="仿宋_GB2312" w:hAnsi="宋体" w:eastAsia="仿宋_GB2312" w:cs="仿宋_GB2312"/>
          <w:i w:val="0"/>
          <w:caps w:val="0"/>
          <w:color w:val="000000"/>
          <w:spacing w:val="-11"/>
          <w:kern w:val="0"/>
          <w:sz w:val="32"/>
          <w:szCs w:val="32"/>
          <w:lang w:val="en-US" w:eastAsia="zh-CN" w:bidi="ar"/>
        </w:rPr>
        <w:t>测监控设备、运输车辆及设备、供电设备等构成，具体配置要求如下：</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（一）入库管理系统设备。包括但不限于条码编制、打印设备，以及专门的计算机管理系统，能满足物流作业全过程和质量控制等要求。</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（二）货物信息自动识别设备。可采用包括但不限于条型码编制/打印扫描设备、无纸化拣货系统</w:t>
      </w:r>
      <w:r>
        <w:rPr>
          <w:rFonts w:hint="default" w:ascii="仿宋_GB2312" w:hAnsi="宋体" w:eastAsia="仿宋_GB2312" w:cs="仿宋_GB2312"/>
          <w:i w:val="0"/>
          <w:caps w:val="0"/>
          <w:color w:val="333333"/>
          <w:spacing w:val="0"/>
          <w:kern w:val="0"/>
          <w:sz w:val="32"/>
          <w:szCs w:val="32"/>
          <w:lang w:val="en-US" w:eastAsia="zh-CN" w:bidi="ar"/>
        </w:rPr>
        <w:t>（含无线射频技术或无线手持终端拣选技术、电子标签拣零（DPS）等，下同）等设备，</w:t>
      </w:r>
      <w:r>
        <w:rPr>
          <w:rFonts w:hint="default" w:ascii="仿宋_GB2312" w:hAnsi="宋体" w:eastAsia="仿宋_GB2312" w:cs="仿宋_GB2312"/>
          <w:i w:val="0"/>
          <w:caps w:val="0"/>
          <w:color w:val="000000"/>
          <w:spacing w:val="0"/>
          <w:kern w:val="0"/>
          <w:sz w:val="32"/>
          <w:szCs w:val="32"/>
          <w:lang w:val="en-US" w:eastAsia="zh-CN" w:bidi="ar"/>
        </w:rPr>
        <w:t>实现药品收货、验收、上架、输送、拣选、复核、分拣、集货、调度、运输、配送、回单管理等作业管理。</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（三）货架系统设备。托盘存储系统标准货位（指1000mm*1200mm国标托盘货位）数量不少于6000个，</w:t>
      </w:r>
      <w:r>
        <w:rPr>
          <w:rFonts w:hint="default" w:ascii="仿宋_GB2312" w:hAnsi="宋体" w:eastAsia="仿宋_GB2312" w:cs="仿宋_GB2312"/>
          <w:i w:val="0"/>
          <w:caps w:val="0"/>
          <w:color w:val="333333"/>
          <w:spacing w:val="0"/>
          <w:kern w:val="0"/>
          <w:sz w:val="32"/>
          <w:szCs w:val="32"/>
          <w:lang w:val="en-US" w:eastAsia="zh-CN" w:bidi="ar"/>
        </w:rPr>
        <w:t>分拣设备效</w:t>
      </w:r>
      <w:r>
        <w:rPr>
          <w:rFonts w:hint="default" w:ascii="仿宋_GB2312" w:hAnsi="宋体" w:eastAsia="仿宋_GB2312" w:cs="仿宋_GB2312"/>
          <w:i w:val="0"/>
          <w:caps w:val="0"/>
          <w:color w:val="333333"/>
          <w:spacing w:val="-11"/>
          <w:kern w:val="0"/>
          <w:sz w:val="32"/>
          <w:szCs w:val="32"/>
          <w:lang w:val="en-US" w:eastAsia="zh-CN" w:bidi="ar"/>
        </w:rPr>
        <w:t>率不低于2000箱/小时。</w:t>
      </w:r>
      <w:r>
        <w:rPr>
          <w:rFonts w:hint="default" w:ascii="仿宋_GB2312" w:hAnsi="宋体" w:eastAsia="仿宋_GB2312" w:cs="仿宋_GB2312"/>
          <w:i w:val="0"/>
          <w:caps w:val="0"/>
          <w:color w:val="000000"/>
          <w:spacing w:val="-11"/>
          <w:kern w:val="0"/>
          <w:sz w:val="32"/>
          <w:szCs w:val="32"/>
          <w:lang w:val="en-US" w:eastAsia="zh-CN" w:bidi="ar"/>
        </w:rPr>
        <w:t>拆零拣选货位配备相应无纸化拣货技术系统。</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四）装卸搬运设备。设置自动化立体仓库的，巷道高位堆垛机不少于4架；设置高架库的,堆垛叉车不少于2台。多层库房内配备专用电梯、升降机、穿层输送设备等竖向物流设备。应设置与经营规模相适应的货物装卸平台及车辆周转场地。</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（五）库内输送设备。通过动力输送线连接储存区、拣选作</w:t>
      </w:r>
      <w:r>
        <w:rPr>
          <w:rFonts w:hint="default" w:ascii="仿宋_GB2312" w:hAnsi="宋体" w:eastAsia="仿宋_GB2312" w:cs="仿宋_GB2312"/>
          <w:i w:val="0"/>
          <w:caps w:val="0"/>
          <w:color w:val="000000"/>
          <w:spacing w:val="-11"/>
          <w:kern w:val="0"/>
          <w:sz w:val="32"/>
          <w:szCs w:val="32"/>
          <w:lang w:val="en-US" w:eastAsia="zh-CN" w:bidi="ar"/>
        </w:rPr>
        <w:t>业区、集货区等区域，实现物流中心各作业环节不间断的自动输送。</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（六）分拣及出库设备。采用无纸化拣货系统和自动分拣机等设备进行分拣。采用电子标签辅助拣货系统的，电子标签数量能够与拆零拣选业务相适应，实现对每个拣选货位的操作指示；</w:t>
      </w:r>
      <w:r>
        <w:rPr>
          <w:rFonts w:hint="default" w:ascii="仿宋_GB2312" w:hAnsi="宋体" w:eastAsia="仿宋_GB2312" w:cs="仿宋_GB2312"/>
          <w:i w:val="0"/>
          <w:caps w:val="0"/>
          <w:color w:val="000000"/>
          <w:spacing w:val="-11"/>
          <w:kern w:val="0"/>
          <w:sz w:val="32"/>
          <w:szCs w:val="32"/>
          <w:lang w:val="en-US" w:eastAsia="zh-CN" w:bidi="ar"/>
        </w:rPr>
        <w:t>采用自动分拣机的，滑道数能够与分拣作业量及配送客户数相适应。</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（七）监测监控设备。包括但不限于仓库温湿度自动监测、控制设备、记录、报警设备、库区视频监控设备等，实现对仓储条件和整个物流中心实时录像、实时监控、实时处置的功能。</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（八）运输车辆及设备。配备与经营规模相适应的专用密闭式药品运输车辆，车辆及驾驶员合法、合规，并符合以下要求：</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1.经营冷链药品物流业务的，配备与经营规模相适应的专业冷藏运输车辆及车载冷藏设备（冷藏箱、保温箱等），</w:t>
      </w:r>
      <w:r>
        <w:rPr>
          <w:rFonts w:hint="default" w:ascii="仿宋_GB2312" w:hAnsi="宋体" w:eastAsia="仿宋_GB2312" w:cs="仿宋_GB2312"/>
          <w:i w:val="0"/>
          <w:caps w:val="0"/>
          <w:color w:val="333333"/>
          <w:spacing w:val="0"/>
          <w:kern w:val="0"/>
          <w:sz w:val="32"/>
          <w:szCs w:val="32"/>
          <w:lang w:val="en-US" w:eastAsia="zh-CN" w:bidi="ar"/>
        </w:rPr>
        <w:t>具有独立制冷系统的冷藏车不少于2台。</w:t>
      </w:r>
      <w:r>
        <w:rPr>
          <w:rFonts w:hint="default" w:ascii="仿宋_GB2312" w:hAnsi="宋体" w:eastAsia="仿宋_GB2312" w:cs="仿宋_GB2312"/>
          <w:i w:val="0"/>
          <w:caps w:val="0"/>
          <w:color w:val="000000"/>
          <w:spacing w:val="0"/>
          <w:kern w:val="0"/>
          <w:sz w:val="32"/>
          <w:szCs w:val="32"/>
          <w:lang w:val="en-US" w:eastAsia="zh-CN" w:bidi="ar"/>
        </w:rPr>
        <w:t>冷藏车、冷藏箱、保温箱等设备的配置符合药品GSP等规定要求。</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2.</w:t>
      </w:r>
      <w:r>
        <w:rPr>
          <w:rFonts w:hint="default" w:ascii="仿宋_GB2312" w:hAnsi="宋体" w:eastAsia="仿宋_GB2312" w:cs="仿宋_GB2312"/>
          <w:i w:val="0"/>
          <w:caps w:val="0"/>
          <w:color w:val="333333"/>
          <w:spacing w:val="0"/>
          <w:kern w:val="0"/>
          <w:sz w:val="32"/>
          <w:szCs w:val="32"/>
          <w:lang w:val="en-US" w:eastAsia="zh-CN" w:bidi="ar"/>
        </w:rPr>
        <w:t>运输车辆配置卫星定位系统，可实现对车辆运输状态实时</w:t>
      </w:r>
      <w:r>
        <w:rPr>
          <w:rFonts w:hint="default" w:ascii="仿宋_GB2312" w:hAnsi="宋体" w:eastAsia="仿宋_GB2312" w:cs="仿宋_GB2312"/>
          <w:i w:val="0"/>
          <w:caps w:val="0"/>
          <w:color w:val="000000"/>
          <w:spacing w:val="0"/>
          <w:kern w:val="0"/>
          <w:sz w:val="32"/>
          <w:szCs w:val="32"/>
          <w:lang w:val="en-US" w:eastAsia="zh-CN" w:bidi="ar"/>
        </w:rPr>
        <w:t>监控</w:t>
      </w:r>
      <w:r>
        <w:rPr>
          <w:rFonts w:hint="default" w:ascii="仿宋_GB2312" w:hAnsi="宋体" w:eastAsia="仿宋_GB2312" w:cs="仿宋_GB2312"/>
          <w:i w:val="0"/>
          <w:caps w:val="0"/>
          <w:color w:val="333333"/>
          <w:spacing w:val="0"/>
          <w:kern w:val="0"/>
          <w:sz w:val="32"/>
          <w:szCs w:val="32"/>
          <w:lang w:val="en-US" w:eastAsia="zh-CN" w:bidi="ar"/>
        </w:rPr>
        <w:t>，冷藏运输车辆应配置车载温度自动监控设备及远程数据传输系统，调控车内温度，储存、上传监控数据。</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3.需要委托第三方承运商进行物流运输的，建立相应质量控制体系，并经委托方同意后委托具备运输资质的承运商运输；定期对承运商质量体系进行审计，签订药品质量安全保证协议，明确双方义务与责任。第三方承运商的车辆及驾驶员符合相关法规和本技术指南的要求。</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（九）计算机网络设备。按药品GSP等规定配置与药品物流规模相适应的计算机硬件系统和网络设备，</w:t>
      </w:r>
      <w:r>
        <w:rPr>
          <w:rFonts w:hint="default" w:ascii="仿宋_GB2312" w:hAnsi="宋体" w:eastAsia="仿宋_GB2312" w:cs="仿宋_GB2312"/>
          <w:i w:val="0"/>
          <w:caps w:val="0"/>
          <w:color w:val="333333"/>
          <w:spacing w:val="0"/>
          <w:kern w:val="0"/>
          <w:sz w:val="32"/>
          <w:szCs w:val="32"/>
          <w:lang w:val="en-US" w:eastAsia="zh-CN" w:bidi="ar"/>
        </w:rPr>
        <w:t>并符合以下要求：</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1．至少配备两套互备的服务器系统（双机热备），共同执行同一服务，实现无人工干预持续服务功能。同时配备不间断电源和独立的存储设备。</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2．数据库软件、网络安全与应用安全管理软件、操作系统软件等计算机管理软件与物流运营规模相适应，满足业务安全运行的要求。</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3．计算机管理系统有固定接入互联网的方式，企业网络出口带宽与业务规模相适应。网络交换机有防入侵网关，服务器和计算机应安装防病毒软件。</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（十）企业配备备用供电设备，具备突发情况下的电力保障功能。冷库应配备备用发电机组或者双回路供电系统</w:t>
      </w:r>
      <w:r>
        <w:rPr>
          <w:rFonts w:hint="default" w:ascii="仿宋_GB2312" w:hAnsi="宋体" w:eastAsia="仿宋_GB2312" w:cs="仿宋_GB2312"/>
          <w:i w:val="0"/>
          <w:caps w:val="0"/>
          <w:color w:val="333333"/>
          <w:spacing w:val="0"/>
          <w:kern w:val="0"/>
          <w:sz w:val="32"/>
          <w:szCs w:val="32"/>
          <w:lang w:val="en-US" w:eastAsia="zh-CN" w:bidi="ar"/>
        </w:rPr>
        <w:t>。</w:t>
      </w:r>
      <w:r>
        <w:rPr>
          <w:rFonts w:hint="default" w:ascii="仿宋_GB2312" w:hAnsi="宋体" w:eastAsia="仿宋_GB2312" w:cs="仿宋_GB2312"/>
          <w:i w:val="0"/>
          <w:caps w:val="0"/>
          <w:color w:val="333333"/>
          <w:spacing w:val="0"/>
          <w:kern w:val="0"/>
          <w:sz w:val="32"/>
          <w:szCs w:val="32"/>
          <w:lang w:val="en-US" w:eastAsia="zh-CN" w:bidi="ar"/>
        </w:rPr>
        <w:br w:type="textWrapping"/>
      </w: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000000"/>
          <w:spacing w:val="0"/>
          <w:kern w:val="0"/>
          <w:sz w:val="32"/>
          <w:szCs w:val="32"/>
          <w:lang w:val="en-US" w:eastAsia="zh-CN" w:bidi="ar"/>
        </w:rPr>
        <w:t>   第十六条</w:t>
      </w: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000000"/>
          <w:spacing w:val="0"/>
          <w:kern w:val="0"/>
          <w:sz w:val="32"/>
          <w:szCs w:val="32"/>
          <w:shd w:val="clear" w:fill="FFFFFF"/>
          <w:lang w:val="en-US" w:eastAsia="zh-CN" w:bidi="ar"/>
        </w:rPr>
        <w:t>具备药品第三方物流条件的企业</w:t>
      </w:r>
      <w:r>
        <w:rPr>
          <w:rFonts w:hint="default" w:ascii="仿宋_GB2312" w:hAnsi="宋体" w:eastAsia="仿宋_GB2312" w:cs="仿宋_GB2312"/>
          <w:i w:val="0"/>
          <w:caps w:val="0"/>
          <w:color w:val="000000"/>
          <w:spacing w:val="0"/>
          <w:kern w:val="0"/>
          <w:sz w:val="32"/>
          <w:szCs w:val="32"/>
          <w:lang w:val="en-US" w:eastAsia="zh-CN" w:bidi="ar"/>
        </w:rPr>
        <w:t>根据业务需要，可以在福建省境内设立分库或异地设库，并符合以下条件：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000000"/>
          <w:spacing w:val="0"/>
          <w:sz w:val="32"/>
          <w:szCs w:val="32"/>
          <w:shd w:val="clear" w:fill="FFFFFF"/>
        </w:rPr>
        <w:t>（一）分库或异地分库</w:t>
      </w:r>
      <w:r>
        <w:rPr>
          <w:rFonts w:hint="default" w:ascii="仿宋_GB2312" w:hAnsi="宋体" w:eastAsia="仿宋_GB2312" w:cs="仿宋_GB2312"/>
          <w:i w:val="0"/>
          <w:caps w:val="0"/>
          <w:color w:val="333333"/>
          <w:spacing w:val="0"/>
          <w:sz w:val="32"/>
          <w:szCs w:val="32"/>
        </w:rPr>
        <w:t>具有与经营规模和业务范围相适应的</w:t>
      </w:r>
      <w:r>
        <w:rPr>
          <w:rFonts w:hint="default" w:ascii="仿宋_GB2312" w:hAnsi="宋体" w:eastAsia="仿宋_GB2312" w:cs="仿宋_GB2312"/>
          <w:i w:val="0"/>
          <w:caps w:val="0"/>
          <w:color w:val="000000"/>
          <w:spacing w:val="0"/>
          <w:sz w:val="32"/>
          <w:szCs w:val="32"/>
          <w:shd w:val="clear" w:fill="FFFFFF"/>
        </w:rPr>
        <w:t>库房,建筑面积不少于2000平方米，</w:t>
      </w:r>
      <w:r>
        <w:rPr>
          <w:rFonts w:hint="default" w:ascii="仿宋_GB2312" w:hAnsi="宋体" w:eastAsia="仿宋_GB2312" w:cs="仿宋_GB2312"/>
          <w:i w:val="0"/>
          <w:caps w:val="0"/>
          <w:color w:val="000000"/>
          <w:spacing w:val="0"/>
          <w:sz w:val="32"/>
          <w:szCs w:val="32"/>
        </w:rPr>
        <w:t>层高以满足</w:t>
      </w:r>
      <w:r>
        <w:rPr>
          <w:rFonts w:hint="default" w:ascii="仿宋_GB2312" w:hAnsi="宋体" w:eastAsia="仿宋_GB2312" w:cs="仿宋_GB2312"/>
          <w:i w:val="0"/>
          <w:caps w:val="0"/>
          <w:color w:val="333333"/>
          <w:spacing w:val="0"/>
          <w:sz w:val="32"/>
          <w:szCs w:val="32"/>
        </w:rPr>
        <w:t>企业物流作业需要</w:t>
      </w:r>
      <w:r>
        <w:rPr>
          <w:rFonts w:hint="default" w:ascii="仿宋_GB2312" w:hAnsi="宋体" w:eastAsia="仿宋_GB2312" w:cs="仿宋_GB2312"/>
          <w:i w:val="0"/>
          <w:caps w:val="0"/>
          <w:color w:val="000000"/>
          <w:spacing w:val="0"/>
          <w:sz w:val="32"/>
          <w:szCs w:val="32"/>
          <w:shd w:val="clear" w:fill="FFFFFF"/>
        </w:rPr>
        <w:t>为宜</w:t>
      </w:r>
      <w:r>
        <w:rPr>
          <w:rFonts w:hint="default" w:ascii="仿宋_GB2312" w:hAnsi="宋体" w:eastAsia="仿宋_GB2312" w:cs="仿宋_GB2312"/>
          <w:i w:val="0"/>
          <w:caps w:val="0"/>
          <w:color w:val="000000"/>
          <w:spacing w:val="0"/>
          <w:sz w:val="32"/>
          <w:szCs w:val="32"/>
        </w:rPr>
        <w:t>。</w:t>
      </w:r>
      <w:r>
        <w:rPr>
          <w:rFonts w:hint="default" w:ascii="仿宋_GB2312" w:hAnsi="宋体" w:eastAsia="仿宋_GB2312" w:cs="仿宋_GB2312"/>
          <w:i w:val="0"/>
          <w:caps w:val="0"/>
          <w:color w:val="333333"/>
          <w:spacing w:val="0"/>
          <w:sz w:val="32"/>
          <w:szCs w:val="32"/>
        </w:rPr>
        <w:t>仓库的设置和作业区域的划分科学、合理，符合药品GSP要求，满足物流作业和经营业务需要。</w:t>
      </w:r>
      <w:r>
        <w:rPr>
          <w:rFonts w:hint="default" w:ascii="仿宋_GB2312" w:hAnsi="宋体" w:eastAsia="仿宋_GB2312" w:cs="仿宋_GB2312"/>
          <w:i w:val="0"/>
          <w:caps w:val="0"/>
          <w:color w:val="000000"/>
          <w:spacing w:val="0"/>
          <w:sz w:val="32"/>
          <w:szCs w:val="32"/>
          <w:shd w:val="clear" w:fill="FFFFFF"/>
        </w:rPr>
        <w:t>集团企业可利用其控股范围内的仓库作为分库或异地库，整合集团内企业的仓储和运输资源，在省级辖区内实现资源共享。</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000000"/>
          <w:spacing w:val="0"/>
          <w:sz w:val="32"/>
          <w:szCs w:val="32"/>
          <w:shd w:val="clear" w:fill="FFFFFF"/>
        </w:rPr>
        <w:t>（二）分库或异地分库</w:t>
      </w:r>
      <w:r>
        <w:rPr>
          <w:rFonts w:hint="default" w:ascii="仿宋_GB2312" w:hAnsi="宋体" w:eastAsia="仿宋_GB2312" w:cs="仿宋_GB2312"/>
          <w:i w:val="0"/>
          <w:caps w:val="0"/>
          <w:color w:val="000000"/>
          <w:spacing w:val="0"/>
          <w:sz w:val="32"/>
          <w:szCs w:val="32"/>
        </w:rPr>
        <w:t>配备</w:t>
      </w:r>
      <w:r>
        <w:rPr>
          <w:rFonts w:hint="default" w:ascii="仿宋_GB2312" w:hAnsi="宋体" w:eastAsia="仿宋_GB2312" w:cs="仿宋_GB2312"/>
          <w:i w:val="0"/>
          <w:caps w:val="0"/>
          <w:color w:val="000000"/>
          <w:spacing w:val="0"/>
          <w:sz w:val="32"/>
          <w:szCs w:val="32"/>
          <w:shd w:val="clear" w:fill="FFFFFF"/>
        </w:rPr>
        <w:t>与企业总部物流中心</w:t>
      </w:r>
      <w:r>
        <w:rPr>
          <w:rFonts w:hint="default" w:ascii="仿宋_GB2312" w:hAnsi="宋体" w:eastAsia="仿宋_GB2312" w:cs="仿宋_GB2312"/>
          <w:i w:val="0"/>
          <w:caps w:val="0"/>
          <w:color w:val="000000"/>
          <w:spacing w:val="0"/>
          <w:sz w:val="32"/>
          <w:szCs w:val="32"/>
        </w:rPr>
        <w:t>统一的仓储信息管理系统(WMS)，</w:t>
      </w:r>
      <w:r>
        <w:rPr>
          <w:rFonts w:hint="default" w:ascii="仿宋_GB2312" w:hAnsi="宋体" w:eastAsia="仿宋_GB2312" w:cs="仿宋_GB2312"/>
          <w:i w:val="0"/>
          <w:caps w:val="0"/>
          <w:color w:val="000000"/>
          <w:spacing w:val="0"/>
          <w:sz w:val="32"/>
          <w:szCs w:val="32"/>
          <w:shd w:val="clear" w:fill="FFFFFF"/>
        </w:rPr>
        <w:t>实行统一管理、统一质量控制；仓库内应配置与经营规模相适应的设备。</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000000"/>
          <w:spacing w:val="0"/>
          <w:sz w:val="32"/>
          <w:szCs w:val="32"/>
          <w:shd w:val="clear" w:fill="FFFFFF"/>
        </w:rPr>
        <w:t>（三）</w:t>
      </w:r>
      <w:r>
        <w:rPr>
          <w:rFonts w:hint="default" w:ascii="仿宋_GB2312" w:hAnsi="宋体" w:eastAsia="仿宋_GB2312" w:cs="仿宋_GB2312"/>
          <w:i w:val="0"/>
          <w:caps w:val="0"/>
          <w:color w:val="000000"/>
          <w:spacing w:val="0"/>
          <w:sz w:val="32"/>
          <w:szCs w:val="32"/>
        </w:rPr>
        <w:t>经营冷链药品物流业务的，</w:t>
      </w:r>
      <w:r>
        <w:rPr>
          <w:rFonts w:hint="default" w:ascii="仿宋_GB2312" w:hAnsi="宋体" w:eastAsia="仿宋_GB2312" w:cs="仿宋_GB2312"/>
          <w:i w:val="0"/>
          <w:caps w:val="0"/>
          <w:color w:val="000000"/>
          <w:spacing w:val="0"/>
          <w:sz w:val="32"/>
          <w:szCs w:val="32"/>
          <w:shd w:val="clear" w:fill="FFFFFF"/>
        </w:rPr>
        <w:t>冷库总容积不少于150立方米。代储代运疫苗的，配备两个以上独立冷库。</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（四）专营药品第三方物流冷链业务的，冷库总容积不少于500立方米，</w:t>
      </w:r>
      <w:r>
        <w:rPr>
          <w:rFonts w:hint="default" w:ascii="仿宋_GB2312" w:hAnsi="宋体" w:eastAsia="仿宋_GB2312" w:cs="仿宋_GB2312"/>
          <w:i w:val="0"/>
          <w:caps w:val="0"/>
          <w:color w:val="000000"/>
          <w:spacing w:val="0"/>
          <w:kern w:val="0"/>
          <w:sz w:val="32"/>
          <w:szCs w:val="32"/>
          <w:shd w:val="clear" w:fill="FFFFFF"/>
          <w:lang w:val="en-US" w:eastAsia="zh-CN" w:bidi="ar"/>
        </w:rPr>
        <w:t>配备两个以上独立冷库。</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第十七条</w:t>
      </w: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000000"/>
          <w:spacing w:val="0"/>
          <w:kern w:val="0"/>
          <w:sz w:val="32"/>
          <w:szCs w:val="32"/>
          <w:lang w:val="en-US" w:eastAsia="zh-CN" w:bidi="ar"/>
        </w:rPr>
        <w:t>企业建立中央控制室。中央控制室能实现库房、冷库、冷藏车温湿度监控及其他仓储作业区视频监控、设备控制以及异常状况报警功能。设立分库或异地设库的企业，中央控制室能对上述功能实现远程控制。</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eastAsia" w:ascii="黑体" w:hAnsi="宋体" w:eastAsia="黑体" w:cs="黑体"/>
          <w:b w:val="0"/>
          <w:i w:val="0"/>
          <w:caps w:val="0"/>
          <w:color w:val="000000"/>
          <w:spacing w:val="0"/>
          <w:kern w:val="0"/>
          <w:sz w:val="32"/>
          <w:szCs w:val="32"/>
          <w:lang w:val="en-US" w:eastAsia="zh-CN" w:bidi="ar"/>
        </w:rPr>
        <w:t>第五章</w:t>
      </w:r>
      <w:r>
        <w:rPr>
          <w:rFonts w:hint="eastAsia" w:ascii="宋体" w:hAnsi="宋体" w:eastAsia="宋体" w:cs="宋体"/>
          <w:i w:val="0"/>
          <w:caps w:val="0"/>
          <w:color w:val="333333"/>
          <w:spacing w:val="0"/>
          <w:kern w:val="0"/>
          <w:sz w:val="21"/>
          <w:szCs w:val="21"/>
          <w:lang w:val="en-US" w:eastAsia="zh-CN" w:bidi="ar"/>
        </w:rPr>
        <w:t> </w:t>
      </w:r>
      <w:r>
        <w:rPr>
          <w:rFonts w:hint="eastAsia" w:ascii="黑体" w:hAnsi="宋体" w:eastAsia="黑体" w:cs="黑体"/>
          <w:b w:val="0"/>
          <w:i w:val="0"/>
          <w:caps w:val="0"/>
          <w:color w:val="000000"/>
          <w:spacing w:val="0"/>
          <w:kern w:val="0"/>
          <w:sz w:val="32"/>
          <w:szCs w:val="32"/>
          <w:lang w:val="en-US" w:eastAsia="zh-CN" w:bidi="ar"/>
        </w:rPr>
        <w:t>信息管理系统</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600"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第十八条</w:t>
      </w: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000000"/>
          <w:spacing w:val="0"/>
          <w:kern w:val="0"/>
          <w:sz w:val="32"/>
          <w:szCs w:val="32"/>
          <w:lang w:val="en-US" w:eastAsia="zh-CN" w:bidi="ar"/>
        </w:rPr>
        <w:t>企业建立符合药品GSP规定的计算机物流信息管理系统，具有包含基础数据管理、入库管理、存储管理、出库管理、运输管理、药品退回管理、信息对接、温湿度监控等功能，实现物流作业全过程的质量管理，满足药品现代物流运营需要。企业物流信息管理系统与委托方的业务管理系统之间数据能够有效对接，实现数据交换实时同步，并符合以下要求：</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（一）系统能够支持不同委托方的货物管理，具备组织架构定义、人员管理、权限定义、人员授权等系统管理功能，保证不同委托方的数据、记录互不干扰和混淆；</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（二）系统能够支持在质量管理部门的有效监督下，建立和维护委托方、药品、客户（含委托方供应商及销售客户）资料等基础数据；</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（三）系统能够支持委托方药品入出库及管理全过程作业指令无缝对接，有效运用基础数据实现药品入库、储存、出库、运输、退货等全过程质量管控，确保药品信息可追溯。</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（四）系统具备全程货物查询、追溯功能，能与监管部门的监管系统进行对接，具备接受监管部门实施监管的条件；</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（五）系统具有可供委托方查询的功能，向委托方提供对应的库存账目查询、对帐、统计、日结等服务和订单执行情况跟踪、已下订单及各种数据查询。</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第十九条</w:t>
      </w: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000000"/>
          <w:spacing w:val="0"/>
          <w:kern w:val="0"/>
          <w:sz w:val="32"/>
          <w:szCs w:val="32"/>
          <w:lang w:val="en-US" w:eastAsia="zh-CN" w:bidi="ar"/>
        </w:rPr>
        <w:t>企业配置库区视频监控系统，能够对各库区物流</w:t>
      </w:r>
      <w:r>
        <w:rPr>
          <w:rFonts w:hint="default" w:ascii="仿宋_GB2312" w:hAnsi="宋体" w:eastAsia="仿宋_GB2312" w:cs="仿宋_GB2312"/>
          <w:i w:val="0"/>
          <w:caps w:val="0"/>
          <w:color w:val="000000"/>
          <w:spacing w:val="-6"/>
          <w:kern w:val="0"/>
          <w:sz w:val="32"/>
          <w:szCs w:val="32"/>
          <w:lang w:val="en-US" w:eastAsia="zh-CN" w:bidi="ar"/>
        </w:rPr>
        <w:t>作业进行有效视频监控，跟踪、追溯库区内药品质量管理行为过程。</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default" w:ascii="仿宋_GB2312" w:hAnsi="宋体" w:eastAsia="仿宋_GB2312" w:cs="仿宋_GB2312"/>
          <w:i w:val="0"/>
          <w:caps w:val="0"/>
          <w:color w:val="000000"/>
          <w:spacing w:val="0"/>
          <w:kern w:val="0"/>
          <w:sz w:val="32"/>
          <w:szCs w:val="32"/>
          <w:lang w:val="en-US" w:eastAsia="zh-CN" w:bidi="ar"/>
        </w:rPr>
        <w:t>第二十条</w:t>
      </w: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i w:val="0"/>
          <w:caps w:val="0"/>
          <w:color w:val="000000"/>
          <w:spacing w:val="0"/>
          <w:kern w:val="0"/>
          <w:sz w:val="32"/>
          <w:szCs w:val="32"/>
          <w:lang w:val="en-US" w:eastAsia="zh-CN" w:bidi="ar"/>
        </w:rPr>
        <w:t>鼓励和支持企业通过信息系统对委托方相关证照、药品资质证明等文件资料进行扫描、存档及数据维护，建立电子档案，对委托方资质有效性、合法性及经营范围等实施管控。</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640"/>
        <w:jc w:val="left"/>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10" w:beforeAutospacing="0" w:after="210" w:afterAutospacing="0" w:line="580" w:lineRule="atLeast"/>
        <w:ind w:left="0" w:right="0"/>
        <w:jc w:val="left"/>
        <w:rPr>
          <w:rFonts w:hint="eastAsia" w:ascii="宋体" w:hAnsi="宋体" w:eastAsia="宋体" w:cs="宋体"/>
          <w:sz w:val="21"/>
          <w:szCs w:val="21"/>
        </w:rPr>
      </w:pPr>
      <w:r>
        <w:rPr>
          <w:rFonts w:hint="eastAsia" w:ascii="黑体" w:hAnsi="宋体" w:eastAsia="黑体" w:cs="黑体"/>
          <w:i w:val="0"/>
          <w:caps w:val="0"/>
          <w:color w:val="333333"/>
          <w:spacing w:val="0"/>
          <w:kern w:val="0"/>
          <w:sz w:val="32"/>
          <w:szCs w:val="32"/>
          <w:shd w:val="clear" w:fill="FFFFFF"/>
          <w:lang w:val="en-US" w:eastAsia="zh-CN" w:bidi="ar"/>
        </w:rPr>
        <w:t>附件2</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10" w:beforeAutospacing="0" w:after="210" w:afterAutospacing="0" w:line="580" w:lineRule="atLeast"/>
        <w:ind w:left="0" w:right="0"/>
        <w:jc w:val="center"/>
        <w:rPr>
          <w:rFonts w:hint="eastAsia" w:ascii="宋体" w:hAnsi="宋体" w:eastAsia="宋体" w:cs="宋体"/>
          <w:sz w:val="21"/>
          <w:szCs w:val="21"/>
        </w:rPr>
      </w:pPr>
      <w:r>
        <w:rPr>
          <w:rFonts w:hint="default" w:ascii="方正小标宋_GBK" w:hAnsi="方正小标宋_GBK" w:eastAsia="方正小标宋_GBK" w:cs="方正小标宋_GBK"/>
          <w:b w:val="0"/>
          <w:i w:val="0"/>
          <w:caps w:val="0"/>
          <w:color w:val="333333"/>
          <w:spacing w:val="0"/>
          <w:kern w:val="0"/>
          <w:sz w:val="36"/>
          <w:szCs w:val="36"/>
          <w:shd w:val="clear" w:fill="FFFFFF"/>
          <w:lang w:val="en-US" w:eastAsia="zh-CN" w:bidi="ar"/>
        </w:rPr>
        <w:t>药品第三方物流企业报告事项及相关资料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10" w:beforeAutospacing="0" w:after="210" w:afterAutospacing="0" w:line="580" w:lineRule="atLeast"/>
        <w:ind w:left="0" w:right="0" w:firstLine="720"/>
        <w:jc w:val="left"/>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shd w:val="clear" w:fill="FFFFFF"/>
          <w:lang w:val="en-US" w:eastAsia="zh-CN" w:bidi="ar"/>
        </w:rPr>
        <w:t>（一）经自查自评，自认具备开展药品第三方物流条件的药品经营企业向省局提交以下资料：</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1.《药品第三方物流报告表》（见表1）；</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2.药品第三方物流自查自评报告；</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3.营业执照复印件；</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4.企业基本情况简介；</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5.物流中心仓库产权证明文件或租赁合同；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6.物流中心地理位置图、仓库平面图及功能分区（注明仓库总面积，常温库、阴凉库面积及冷库容积）；</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7.企业人员情况表（见表3）（包括法定代表人、企业负责人、质量负责人、质管机构负责人、质管员、验收、养护人员、物流及计算机专业技术人员和专门的设施设备维护保养专业人员的职称/学历等情况）；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8.物流仓储运输设施设备情况表（见表4）；</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9.质量管理文件目录；</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10.计算机系统功能模块情况。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sz w:val="32"/>
          <w:szCs w:val="32"/>
        </w:rPr>
        <w:t>（二）拟设立分库或异地仓库的药品第三方物流企业，应向省局提交以下资料：</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shd w:val="clear" w:fill="FFFFFF"/>
          <w:lang w:val="en-US" w:eastAsia="zh-CN" w:bidi="ar"/>
        </w:rPr>
        <w:t>1</w:t>
      </w:r>
      <w:r>
        <w:rPr>
          <w:rFonts w:hint="default" w:ascii="仿宋_GB2312" w:hAnsi="宋体" w:eastAsia="仿宋_GB2312" w:cs="仿宋_GB2312"/>
          <w:i w:val="0"/>
          <w:caps w:val="0"/>
          <w:color w:val="333333"/>
          <w:spacing w:val="0"/>
          <w:kern w:val="0"/>
          <w:sz w:val="32"/>
          <w:szCs w:val="32"/>
          <w:lang w:val="en-US" w:eastAsia="zh-CN" w:bidi="ar"/>
        </w:rPr>
        <w:t>.</w:t>
      </w:r>
      <w:r>
        <w:rPr>
          <w:rFonts w:hint="default" w:ascii="仿宋_GB2312" w:hAnsi="宋体" w:eastAsia="仿宋_GB2312" w:cs="仿宋_GB2312"/>
          <w:i w:val="0"/>
          <w:caps w:val="0"/>
          <w:color w:val="333333"/>
          <w:spacing w:val="0"/>
          <w:kern w:val="0"/>
          <w:sz w:val="32"/>
          <w:szCs w:val="32"/>
          <w:shd w:val="clear" w:fill="FFFFFF"/>
          <w:lang w:val="en-US" w:eastAsia="zh-CN" w:bidi="ar"/>
        </w:rPr>
        <w:t>《</w:t>
      </w:r>
      <w:r>
        <w:rPr>
          <w:rFonts w:hint="default" w:ascii="仿宋_GB2312" w:hAnsi="宋体" w:eastAsia="仿宋_GB2312" w:cs="仿宋_GB2312"/>
          <w:i w:val="0"/>
          <w:caps w:val="0"/>
          <w:color w:val="333333"/>
          <w:spacing w:val="-17"/>
          <w:kern w:val="0"/>
          <w:sz w:val="32"/>
          <w:szCs w:val="32"/>
          <w:shd w:val="clear" w:fill="FFFFFF"/>
          <w:lang w:val="en-US" w:eastAsia="zh-CN" w:bidi="ar"/>
        </w:rPr>
        <w:t>药品第三方物流企业设立</w:t>
      </w:r>
      <w:r>
        <w:rPr>
          <w:rFonts w:hint="default" w:ascii="仿宋_GB2312" w:hAnsi="宋体" w:eastAsia="仿宋_GB2312" w:cs="仿宋_GB2312"/>
          <w:b w:val="0"/>
          <w:i w:val="0"/>
          <w:caps w:val="0"/>
          <w:color w:val="333333"/>
          <w:spacing w:val="-17"/>
          <w:kern w:val="0"/>
          <w:sz w:val="32"/>
          <w:szCs w:val="32"/>
          <w:shd w:val="clear" w:fill="FFFFFF"/>
          <w:lang w:val="en-US" w:eastAsia="zh-CN" w:bidi="ar"/>
        </w:rPr>
        <w:t>分库或</w:t>
      </w:r>
      <w:r>
        <w:rPr>
          <w:rFonts w:hint="default" w:ascii="仿宋_GB2312" w:hAnsi="宋体" w:eastAsia="仿宋_GB2312" w:cs="仿宋_GB2312"/>
          <w:i w:val="0"/>
          <w:caps w:val="0"/>
          <w:color w:val="333333"/>
          <w:spacing w:val="-17"/>
          <w:kern w:val="0"/>
          <w:sz w:val="32"/>
          <w:szCs w:val="32"/>
          <w:shd w:val="clear" w:fill="FFFFFF"/>
          <w:lang w:val="en-US" w:eastAsia="zh-CN" w:bidi="ar"/>
        </w:rPr>
        <w:t>异地仓库</w:t>
      </w:r>
      <w:r>
        <w:rPr>
          <w:rFonts w:hint="default" w:ascii="仿宋_GB2312" w:hAnsi="宋体" w:eastAsia="仿宋_GB2312" w:cs="仿宋_GB2312"/>
          <w:i w:val="0"/>
          <w:caps w:val="0"/>
          <w:color w:val="333333"/>
          <w:spacing w:val="-17"/>
          <w:kern w:val="0"/>
          <w:sz w:val="32"/>
          <w:szCs w:val="32"/>
          <w:lang w:val="en-US" w:eastAsia="zh-CN" w:bidi="ar"/>
        </w:rPr>
        <w:t>报告表</w:t>
      </w:r>
      <w:r>
        <w:rPr>
          <w:rFonts w:hint="default" w:ascii="仿宋_GB2312" w:hAnsi="宋体" w:eastAsia="仿宋_GB2312" w:cs="仿宋_GB2312"/>
          <w:i w:val="0"/>
          <w:caps w:val="0"/>
          <w:color w:val="333333"/>
          <w:spacing w:val="-17"/>
          <w:kern w:val="0"/>
          <w:sz w:val="32"/>
          <w:szCs w:val="32"/>
          <w:shd w:val="clear" w:fill="FFFFFF"/>
          <w:lang w:val="en-US" w:eastAsia="zh-CN" w:bidi="ar"/>
        </w:rPr>
        <w:t>》（见表2）；</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2.分库或异地仓库验收自查自评报告；</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3.企业营业执照复印件；</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4.分库或异地仓库情况简介；</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5.</w:t>
      </w:r>
      <w:r>
        <w:rPr>
          <w:rFonts w:hint="default" w:ascii="仿宋_GB2312" w:hAnsi="宋体" w:eastAsia="仿宋_GB2312" w:cs="仿宋_GB2312"/>
          <w:b w:val="0"/>
          <w:i w:val="0"/>
          <w:caps w:val="0"/>
          <w:color w:val="333333"/>
          <w:spacing w:val="0"/>
          <w:kern w:val="0"/>
          <w:sz w:val="32"/>
          <w:szCs w:val="32"/>
          <w:shd w:val="clear" w:fill="FFFFFF"/>
          <w:lang w:val="en-US" w:eastAsia="zh-CN" w:bidi="ar"/>
        </w:rPr>
        <w:t>分库或</w:t>
      </w:r>
      <w:r>
        <w:rPr>
          <w:rFonts w:hint="default" w:ascii="仿宋_GB2312" w:hAnsi="宋体" w:eastAsia="仿宋_GB2312" w:cs="仿宋_GB2312"/>
          <w:i w:val="0"/>
          <w:caps w:val="0"/>
          <w:color w:val="333333"/>
          <w:spacing w:val="0"/>
          <w:kern w:val="0"/>
          <w:sz w:val="32"/>
          <w:szCs w:val="32"/>
          <w:shd w:val="clear" w:fill="FFFFFF"/>
          <w:lang w:val="en-US" w:eastAsia="zh-CN" w:bidi="ar"/>
        </w:rPr>
        <w:t>异地仓库</w:t>
      </w:r>
      <w:r>
        <w:rPr>
          <w:rFonts w:hint="default" w:ascii="仿宋_GB2312" w:hAnsi="宋体" w:eastAsia="仿宋_GB2312" w:cs="仿宋_GB2312"/>
          <w:i w:val="0"/>
          <w:caps w:val="0"/>
          <w:color w:val="333333"/>
          <w:spacing w:val="0"/>
          <w:kern w:val="0"/>
          <w:sz w:val="32"/>
          <w:szCs w:val="32"/>
          <w:lang w:val="en-US" w:eastAsia="zh-CN" w:bidi="ar"/>
        </w:rPr>
        <w:t>产权证明文件或租赁合同；</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6.</w:t>
      </w:r>
      <w:r>
        <w:rPr>
          <w:rFonts w:hint="default" w:ascii="仿宋_GB2312" w:hAnsi="宋体" w:eastAsia="仿宋_GB2312" w:cs="仿宋_GB2312"/>
          <w:i w:val="0"/>
          <w:caps w:val="0"/>
          <w:color w:val="333333"/>
          <w:spacing w:val="0"/>
          <w:kern w:val="0"/>
          <w:sz w:val="32"/>
          <w:szCs w:val="32"/>
          <w:shd w:val="clear" w:fill="FFFFFF"/>
          <w:lang w:val="en-US" w:eastAsia="zh-CN" w:bidi="ar"/>
        </w:rPr>
        <w:t>拟设立</w:t>
      </w:r>
      <w:r>
        <w:rPr>
          <w:rFonts w:hint="default" w:ascii="仿宋_GB2312" w:hAnsi="宋体" w:eastAsia="仿宋_GB2312" w:cs="仿宋_GB2312"/>
          <w:b w:val="0"/>
          <w:i w:val="0"/>
          <w:caps w:val="0"/>
          <w:color w:val="333333"/>
          <w:spacing w:val="0"/>
          <w:kern w:val="0"/>
          <w:sz w:val="32"/>
          <w:szCs w:val="32"/>
          <w:shd w:val="clear" w:fill="FFFFFF"/>
          <w:lang w:val="en-US" w:eastAsia="zh-CN" w:bidi="ar"/>
        </w:rPr>
        <w:t>分库或</w:t>
      </w:r>
      <w:r>
        <w:rPr>
          <w:rFonts w:hint="default" w:ascii="仿宋_GB2312" w:hAnsi="宋体" w:eastAsia="仿宋_GB2312" w:cs="仿宋_GB2312"/>
          <w:i w:val="0"/>
          <w:caps w:val="0"/>
          <w:color w:val="333333"/>
          <w:spacing w:val="0"/>
          <w:kern w:val="0"/>
          <w:sz w:val="32"/>
          <w:szCs w:val="32"/>
          <w:shd w:val="clear" w:fill="FFFFFF"/>
          <w:lang w:val="en-US" w:eastAsia="zh-CN" w:bidi="ar"/>
        </w:rPr>
        <w:t>异地仓库的平面图及功能分区（注明仓库总面积，常温库、阴凉库面积及冷库容积（如有））；</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7.拟设立</w:t>
      </w:r>
      <w:r>
        <w:rPr>
          <w:rFonts w:hint="default" w:ascii="仿宋_GB2312" w:hAnsi="宋体" w:eastAsia="仿宋_GB2312" w:cs="仿宋_GB2312"/>
          <w:b w:val="0"/>
          <w:i w:val="0"/>
          <w:caps w:val="0"/>
          <w:color w:val="333333"/>
          <w:spacing w:val="0"/>
          <w:kern w:val="0"/>
          <w:sz w:val="32"/>
          <w:szCs w:val="32"/>
          <w:lang w:val="en-US" w:eastAsia="zh-CN" w:bidi="ar"/>
        </w:rPr>
        <w:t>分库或</w:t>
      </w:r>
      <w:r>
        <w:rPr>
          <w:rFonts w:hint="default" w:ascii="仿宋_GB2312" w:hAnsi="宋体" w:eastAsia="仿宋_GB2312" w:cs="仿宋_GB2312"/>
          <w:i w:val="0"/>
          <w:caps w:val="0"/>
          <w:color w:val="333333"/>
          <w:spacing w:val="0"/>
          <w:kern w:val="0"/>
          <w:sz w:val="32"/>
          <w:szCs w:val="32"/>
          <w:lang w:val="en-US" w:eastAsia="zh-CN" w:bidi="ar"/>
        </w:rPr>
        <w:t>异地仓库岗位人员情况表（见表3）（包括</w:t>
      </w:r>
      <w:r>
        <w:rPr>
          <w:rFonts w:hint="default" w:ascii="仿宋_GB2312" w:hAnsi="宋体" w:eastAsia="仿宋_GB2312" w:cs="仿宋_GB2312"/>
          <w:b w:val="0"/>
          <w:i w:val="0"/>
          <w:caps w:val="0"/>
          <w:color w:val="333333"/>
          <w:spacing w:val="0"/>
          <w:kern w:val="0"/>
          <w:sz w:val="32"/>
          <w:szCs w:val="32"/>
          <w:lang w:val="en-US" w:eastAsia="zh-CN" w:bidi="ar"/>
        </w:rPr>
        <w:t>分库或</w:t>
      </w:r>
      <w:r>
        <w:rPr>
          <w:rFonts w:hint="default" w:ascii="仿宋_GB2312" w:hAnsi="宋体" w:eastAsia="仿宋_GB2312" w:cs="仿宋_GB2312"/>
          <w:i w:val="0"/>
          <w:caps w:val="0"/>
          <w:color w:val="333333"/>
          <w:spacing w:val="0"/>
          <w:kern w:val="0"/>
          <w:sz w:val="32"/>
          <w:szCs w:val="32"/>
          <w:lang w:val="en-US" w:eastAsia="zh-CN" w:bidi="ar"/>
        </w:rPr>
        <w:t>异地仓库负责人、质管员、验收、养护人员、物流及计算机专业技术人员和专门的设施设备维护保养专业人员的职称/学历等情况）</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8.拟</w:t>
      </w:r>
      <w:r>
        <w:rPr>
          <w:rFonts w:hint="default" w:ascii="仿宋_GB2312" w:hAnsi="宋体" w:eastAsia="仿宋_GB2312" w:cs="仿宋_GB2312"/>
          <w:i w:val="0"/>
          <w:caps w:val="0"/>
          <w:color w:val="333333"/>
          <w:spacing w:val="-11"/>
          <w:kern w:val="0"/>
          <w:sz w:val="32"/>
          <w:szCs w:val="32"/>
          <w:lang w:val="en-US" w:eastAsia="zh-CN" w:bidi="ar"/>
        </w:rPr>
        <w:t>设立</w:t>
      </w:r>
      <w:r>
        <w:rPr>
          <w:rFonts w:hint="default" w:ascii="仿宋_GB2312" w:hAnsi="宋体" w:eastAsia="仿宋_GB2312" w:cs="仿宋_GB2312"/>
          <w:b w:val="0"/>
          <w:i w:val="0"/>
          <w:caps w:val="0"/>
          <w:color w:val="333333"/>
          <w:spacing w:val="-11"/>
          <w:kern w:val="0"/>
          <w:sz w:val="32"/>
          <w:szCs w:val="32"/>
          <w:lang w:val="en-US" w:eastAsia="zh-CN" w:bidi="ar"/>
        </w:rPr>
        <w:t>分库或</w:t>
      </w:r>
      <w:r>
        <w:rPr>
          <w:rFonts w:hint="default" w:ascii="仿宋_GB2312" w:hAnsi="宋体" w:eastAsia="仿宋_GB2312" w:cs="仿宋_GB2312"/>
          <w:i w:val="0"/>
          <w:caps w:val="0"/>
          <w:color w:val="333333"/>
          <w:spacing w:val="-11"/>
          <w:kern w:val="0"/>
          <w:sz w:val="32"/>
          <w:szCs w:val="32"/>
          <w:lang w:val="en-US" w:eastAsia="zh-CN" w:bidi="ar"/>
        </w:rPr>
        <w:t>异地仓库仓储运输设施设备情况表（见表4）。</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9.质量管理文件目录;</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kern w:val="0"/>
          <w:sz w:val="32"/>
          <w:szCs w:val="32"/>
          <w:lang w:val="en-US" w:eastAsia="zh-CN" w:bidi="ar"/>
        </w:rPr>
        <w:t>10.计算机系统功能模块情况。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i w:val="0"/>
          <w:caps w:val="0"/>
          <w:color w:val="333333"/>
          <w:spacing w:val="0"/>
          <w:sz w:val="32"/>
          <w:szCs w:val="32"/>
          <w:shd w:val="clear" w:fill="FFFFFF"/>
        </w:rPr>
        <w:t>（三）</w:t>
      </w:r>
      <w:r>
        <w:rPr>
          <w:rFonts w:hint="default" w:ascii="仿宋_GB2312" w:hAnsi="宋体" w:eastAsia="仿宋_GB2312" w:cs="仿宋_GB2312"/>
          <w:b w:val="0"/>
          <w:i w:val="0"/>
          <w:caps w:val="0"/>
          <w:color w:val="333333"/>
          <w:spacing w:val="0"/>
          <w:sz w:val="32"/>
          <w:szCs w:val="32"/>
          <w:shd w:val="clear" w:fill="FFFFFF"/>
        </w:rPr>
        <w:t>承诺事项</w:t>
      </w:r>
      <w:r>
        <w:rPr>
          <w:rFonts w:hint="default" w:ascii="仿宋_GB2312" w:hAnsi="宋体" w:eastAsia="仿宋_GB2312" w:cs="仿宋_GB2312"/>
          <w:i w:val="0"/>
          <w:caps w:val="0"/>
          <w:color w:val="333333"/>
          <w:spacing w:val="0"/>
          <w:sz w:val="32"/>
          <w:szCs w:val="32"/>
          <w:shd w:val="clear" w:fill="FFFFFF"/>
        </w:rPr>
        <w:t>（包括但不限于）</w:t>
      </w:r>
      <w:r>
        <w:rPr>
          <w:rFonts w:hint="default" w:ascii="仿宋_GB2312" w:hAnsi="宋体" w:eastAsia="仿宋_GB2312" w:cs="仿宋_GB2312"/>
          <w:b w:val="0"/>
          <w:i w:val="0"/>
          <w:caps w:val="0"/>
          <w:color w:val="333333"/>
          <w:spacing w:val="0"/>
          <w:sz w:val="32"/>
          <w:szCs w:val="32"/>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sz w:val="32"/>
          <w:szCs w:val="32"/>
          <w:shd w:val="clear" w:fill="FFFFFF"/>
        </w:rPr>
        <w:t>1.严格遵守国家药品相关法律法规，严格按照《</w:t>
      </w:r>
      <w:r>
        <w:rPr>
          <w:rFonts w:hint="default" w:ascii="仿宋_GB2312" w:hAnsi="宋体" w:eastAsia="仿宋_GB2312" w:cs="仿宋_GB2312"/>
          <w:i w:val="0"/>
          <w:caps w:val="0"/>
          <w:color w:val="333333"/>
          <w:spacing w:val="0"/>
          <w:sz w:val="32"/>
          <w:szCs w:val="32"/>
          <w:shd w:val="clear" w:fill="FFFFFF"/>
        </w:rPr>
        <w:t>福建省药品监督管理局关于加强药品第三方物流监管工作的通知》（闽药监药通函〔2019〕128号）的要求开展工作，</w:t>
      </w:r>
      <w:r>
        <w:rPr>
          <w:rFonts w:hint="default" w:ascii="仿宋_GB2312" w:hAnsi="宋体" w:eastAsia="仿宋_GB2312" w:cs="仿宋_GB2312"/>
          <w:b w:val="0"/>
          <w:i w:val="0"/>
          <w:caps w:val="0"/>
          <w:color w:val="333333"/>
          <w:spacing w:val="8"/>
          <w:sz w:val="32"/>
          <w:szCs w:val="32"/>
          <w:shd w:val="clear" w:fill="FFFFFF"/>
        </w:rPr>
        <w:t>对所承担的药品第三方物流服务活动相关法律责任和质量安全责任负责；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80" w:lineRule="atLeast"/>
        <w:ind w:left="0" w:right="0" w:firstLine="672"/>
        <w:jc w:val="both"/>
        <w:rPr>
          <w:rFonts w:hint="eastAsia" w:ascii="宋体" w:hAnsi="宋体" w:eastAsia="宋体" w:cs="宋体"/>
          <w:sz w:val="21"/>
          <w:szCs w:val="21"/>
        </w:rPr>
      </w:pPr>
      <w:r>
        <w:rPr>
          <w:rFonts w:hint="default" w:ascii="仿宋_GB2312" w:hAnsi="宋体" w:eastAsia="仿宋_GB2312" w:cs="仿宋_GB2312"/>
          <w:b w:val="0"/>
          <w:i w:val="0"/>
          <w:caps w:val="0"/>
          <w:color w:val="333333"/>
          <w:spacing w:val="8"/>
          <w:sz w:val="32"/>
          <w:szCs w:val="32"/>
          <w:shd w:val="clear" w:fill="FFFFFF"/>
        </w:rPr>
        <w:t>2.在接受委托时应考察委托方持续加强对经营药品的质量管控能力，一般</w:t>
      </w:r>
      <w:r>
        <w:rPr>
          <w:rFonts w:hint="default" w:ascii="仿宋_GB2312" w:hAnsi="宋体" w:eastAsia="仿宋_GB2312" w:cs="仿宋_GB2312"/>
          <w:b w:val="0"/>
          <w:i w:val="0"/>
          <w:caps w:val="0"/>
          <w:color w:val="333333"/>
          <w:spacing w:val="0"/>
          <w:sz w:val="32"/>
          <w:szCs w:val="32"/>
          <w:shd w:val="clear" w:fill="FFFFFF"/>
        </w:rPr>
        <w:t>不接受新开办未满五年的药品批发企业（含零售连锁总部）的委托储存配送</w:t>
      </w:r>
      <w:r>
        <w:rPr>
          <w:rFonts w:hint="default" w:ascii="仿宋_GB2312" w:hAnsi="宋体" w:eastAsia="仿宋_GB2312" w:cs="仿宋_GB2312"/>
          <w:b w:val="0"/>
          <w:i w:val="0"/>
          <w:caps w:val="0"/>
          <w:color w:val="333333"/>
          <w:spacing w:val="8"/>
          <w:sz w:val="32"/>
          <w:szCs w:val="32"/>
          <w:shd w:val="clear" w:fill="FFFFFF"/>
        </w:rPr>
        <w:t>业务</w:t>
      </w:r>
      <w:r>
        <w:rPr>
          <w:rFonts w:hint="default" w:ascii="仿宋_GB2312" w:hAnsi="宋体" w:eastAsia="仿宋_GB2312" w:cs="仿宋_GB2312"/>
          <w:b w:val="0"/>
          <w:i w:val="0"/>
          <w:caps w:val="0"/>
          <w:color w:val="333333"/>
          <w:spacing w:val="0"/>
          <w:sz w:val="32"/>
          <w:szCs w:val="32"/>
          <w:shd w:val="clear" w:fill="FFFFFF"/>
        </w:rPr>
        <w:t>（但委托方和受托方属于同一集团内的关系除外）；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80" w:lineRule="atLeast"/>
        <w:ind w:left="0" w:right="0" w:firstLine="640"/>
        <w:jc w:val="both"/>
        <w:rPr>
          <w:rFonts w:hint="eastAsia" w:ascii="宋体" w:hAnsi="宋体" w:eastAsia="宋体" w:cs="宋体"/>
          <w:sz w:val="21"/>
          <w:szCs w:val="21"/>
        </w:rPr>
      </w:pPr>
      <w:r>
        <w:rPr>
          <w:rFonts w:hint="default" w:ascii="仿宋_GB2312" w:hAnsi="宋体" w:eastAsia="仿宋_GB2312" w:cs="仿宋_GB2312"/>
          <w:b w:val="0"/>
          <w:i w:val="0"/>
          <w:caps w:val="0"/>
          <w:color w:val="333333"/>
          <w:spacing w:val="0"/>
          <w:sz w:val="32"/>
          <w:szCs w:val="32"/>
          <w:shd w:val="clear" w:fill="FFFFFF"/>
        </w:rPr>
        <w:t>3.接受各级药品监管部门监督管理和社会各方监督。</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420"/>
        <w:jc w:val="both"/>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420"/>
        <w:jc w:val="both"/>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420"/>
        <w:jc w:val="both"/>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r>
        <w:rPr>
          <w:rFonts w:hint="default" w:ascii="仿宋_GB2312" w:hAnsi="宋体" w:eastAsia="仿宋_GB2312" w:cs="仿宋_GB2312"/>
          <w:b/>
          <w:i w:val="0"/>
          <w:caps w:val="0"/>
          <w:color w:val="333333"/>
          <w:spacing w:val="0"/>
          <w:kern w:val="0"/>
          <w:sz w:val="32"/>
          <w:szCs w:val="32"/>
          <w:lang w:val="en-US" w:eastAsia="zh-CN" w:bidi="ar"/>
        </w:rPr>
        <w:t>表1  药品第三方物流企业报告表</w:t>
      </w:r>
    </w:p>
    <w:tbl>
      <w:tblPr>
        <w:tblStyle w:val="5"/>
        <w:tblW w:w="89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829"/>
        <w:gridCol w:w="1770"/>
        <w:gridCol w:w="1425"/>
        <w:gridCol w:w="29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829"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ascii="仿宋" w:hAnsi="仿宋" w:eastAsia="仿宋" w:cs="仿宋"/>
                <w:kern w:val="0"/>
                <w:sz w:val="24"/>
                <w:szCs w:val="24"/>
                <w:lang w:val="en-US" w:eastAsia="zh-CN" w:bidi="ar"/>
              </w:rPr>
              <w:t>企业名称</w:t>
            </w:r>
          </w:p>
        </w:tc>
        <w:tc>
          <w:tcPr>
            <w:tcW w:w="6100" w:type="dxa"/>
            <w:gridSpan w:val="3"/>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注册地址</w:t>
            </w:r>
          </w:p>
        </w:tc>
        <w:tc>
          <w:tcPr>
            <w:tcW w:w="6100"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仓库地址</w:t>
            </w:r>
          </w:p>
        </w:tc>
        <w:tc>
          <w:tcPr>
            <w:tcW w:w="6100"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异地仓库地址</w:t>
            </w:r>
          </w:p>
        </w:tc>
        <w:tc>
          <w:tcPr>
            <w:tcW w:w="6100"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color w:val="000000"/>
                <w:kern w:val="0"/>
                <w:sz w:val="24"/>
                <w:szCs w:val="24"/>
                <w:lang w:val="en-US" w:eastAsia="zh-CN" w:bidi="ar"/>
              </w:rPr>
              <w:t>企业药品经营范围</w:t>
            </w:r>
          </w:p>
        </w:tc>
        <w:tc>
          <w:tcPr>
            <w:tcW w:w="6100"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 企业组织机构代码</w:t>
            </w:r>
          </w:p>
        </w:tc>
        <w:tc>
          <w:tcPr>
            <w:tcW w:w="6100"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药品经营许可证号</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42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GSP证书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编号</w:t>
            </w:r>
          </w:p>
        </w:tc>
        <w:tc>
          <w:tcPr>
            <w:tcW w:w="290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企业法人/企业负责人</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42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电 话</w:t>
            </w:r>
          </w:p>
        </w:tc>
        <w:tc>
          <w:tcPr>
            <w:tcW w:w="29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企业质量负责人</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42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电 话</w:t>
            </w:r>
          </w:p>
        </w:tc>
        <w:tc>
          <w:tcPr>
            <w:tcW w:w="29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企业物流中心负责人</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42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电 话</w:t>
            </w:r>
          </w:p>
        </w:tc>
        <w:tc>
          <w:tcPr>
            <w:tcW w:w="29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企业联系人</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42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电 话</w:t>
            </w:r>
          </w:p>
        </w:tc>
        <w:tc>
          <w:tcPr>
            <w:tcW w:w="290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7" w:hRule="atLeast"/>
        </w:trPr>
        <w:tc>
          <w:tcPr>
            <w:tcW w:w="8929" w:type="dxa"/>
            <w:gridSpan w:val="4"/>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52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企业保证</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00" w:lineRule="atLeast"/>
              <w:ind w:left="0" w:right="0" w:firstLine="48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本报告表中所填写的内容、所附的资料均为真实、合法、有效。如有不实之处，本单位愿承担全部法律责任。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firstLine="24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firstLine="24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firstLine="24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___________              ___________________</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firstLine="96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       企业（盖章）          企业法定代表人或企业负责人（签字）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                        年    月    日</w:t>
            </w:r>
          </w:p>
        </w:tc>
      </w:tr>
    </w:tbl>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0"/>
        <w:jc w:val="left"/>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0"/>
        <w:jc w:val="left"/>
        <w:rPr>
          <w:rFonts w:hint="eastAsia" w:ascii="宋体" w:hAnsi="宋体" w:eastAsia="宋体" w:cs="宋体"/>
          <w:sz w:val="21"/>
          <w:szCs w:val="21"/>
        </w:rPr>
      </w:pPr>
      <w:r>
        <w:rPr>
          <w:rFonts w:hint="eastAsia" w:ascii="仿宋" w:hAnsi="仿宋" w:eastAsia="仿宋" w:cs="仿宋"/>
          <w:i w:val="0"/>
          <w:caps w:val="0"/>
          <w:color w:val="333333"/>
          <w:spacing w:val="0"/>
          <w:kern w:val="0"/>
          <w:sz w:val="30"/>
          <w:szCs w:val="30"/>
          <w:lang w:val="en-US" w:eastAsia="zh-CN" w:bidi="ar"/>
        </w:rPr>
        <w:t>     </w:t>
      </w:r>
      <w:r>
        <w:rPr>
          <w:rFonts w:hint="eastAsia" w:ascii="宋体" w:hAnsi="宋体" w:eastAsia="宋体" w:cs="宋体"/>
          <w:b/>
          <w:i w:val="0"/>
          <w:caps w:val="0"/>
          <w:color w:val="333333"/>
          <w:spacing w:val="0"/>
          <w:kern w:val="0"/>
          <w:sz w:val="21"/>
          <w:szCs w:val="21"/>
          <w:lang w:val="en-US" w:eastAsia="zh-CN" w:bidi="ar"/>
        </w:rPr>
        <w:t>  </w:t>
      </w:r>
      <w:r>
        <w:rPr>
          <w:rFonts w:hint="default" w:ascii="仿宋_GB2312" w:hAnsi="宋体" w:eastAsia="仿宋_GB2312" w:cs="仿宋_GB2312"/>
          <w:b/>
          <w:i w:val="0"/>
          <w:caps w:val="0"/>
          <w:color w:val="333333"/>
          <w:spacing w:val="0"/>
          <w:kern w:val="0"/>
          <w:sz w:val="32"/>
          <w:szCs w:val="32"/>
          <w:lang w:val="en-US" w:eastAsia="zh-CN" w:bidi="ar"/>
        </w:rPr>
        <w:t>表2  </w:t>
      </w:r>
      <w:r>
        <w:rPr>
          <w:rFonts w:hint="default" w:ascii="仿宋_GB2312" w:hAnsi="宋体" w:eastAsia="仿宋_GB2312" w:cs="仿宋_GB2312"/>
          <w:b/>
          <w:i w:val="0"/>
          <w:caps w:val="0"/>
          <w:color w:val="333333"/>
          <w:spacing w:val="0"/>
          <w:kern w:val="0"/>
          <w:sz w:val="32"/>
          <w:szCs w:val="32"/>
          <w:shd w:val="clear" w:fill="FFFFFF"/>
          <w:lang w:val="en-US" w:eastAsia="zh-CN" w:bidi="ar"/>
        </w:rPr>
        <w:t>药品第三方物流企业分库或异地仓库</w:t>
      </w:r>
      <w:r>
        <w:rPr>
          <w:rFonts w:hint="default" w:ascii="仿宋_GB2312" w:hAnsi="宋体" w:eastAsia="仿宋_GB2312" w:cs="仿宋_GB2312"/>
          <w:b/>
          <w:i w:val="0"/>
          <w:caps w:val="0"/>
          <w:color w:val="333333"/>
          <w:spacing w:val="0"/>
          <w:kern w:val="0"/>
          <w:sz w:val="32"/>
          <w:szCs w:val="32"/>
          <w:lang w:val="en-US" w:eastAsia="zh-CN" w:bidi="ar"/>
        </w:rPr>
        <w:t>报告表</w:t>
      </w:r>
    </w:p>
    <w:tbl>
      <w:tblPr>
        <w:tblStyle w:val="5"/>
        <w:tblW w:w="89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829"/>
        <w:gridCol w:w="1770"/>
        <w:gridCol w:w="1425"/>
        <w:gridCol w:w="28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c>
          <w:tcPr>
            <w:tcW w:w="2829"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企业名称</w:t>
            </w:r>
          </w:p>
        </w:tc>
        <w:tc>
          <w:tcPr>
            <w:tcW w:w="6085" w:type="dxa"/>
            <w:gridSpan w:val="3"/>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注册地址</w:t>
            </w:r>
          </w:p>
        </w:tc>
        <w:tc>
          <w:tcPr>
            <w:tcW w:w="6085"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申请事项类别</w:t>
            </w:r>
          </w:p>
        </w:tc>
        <w:tc>
          <w:tcPr>
            <w:tcW w:w="6085"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□设立分库     □设立</w:t>
            </w:r>
            <w:r>
              <w:rPr>
                <w:rFonts w:hint="eastAsia" w:ascii="仿宋" w:hAnsi="仿宋" w:eastAsia="仿宋" w:cs="仿宋"/>
                <w:kern w:val="0"/>
                <w:sz w:val="24"/>
                <w:szCs w:val="24"/>
                <w:shd w:val="clear" w:fill="FFFFFF"/>
                <w:lang w:val="en-US" w:eastAsia="zh-CN" w:bidi="ar"/>
              </w:rPr>
              <w:t>异地仓库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分库或异地仓库地址</w:t>
            </w:r>
          </w:p>
        </w:tc>
        <w:tc>
          <w:tcPr>
            <w:tcW w:w="6085"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color w:val="000000"/>
                <w:kern w:val="0"/>
                <w:sz w:val="24"/>
                <w:szCs w:val="24"/>
                <w:lang w:val="en-US" w:eastAsia="zh-CN" w:bidi="ar"/>
              </w:rPr>
              <w:t>企业药品经营范围</w:t>
            </w:r>
          </w:p>
        </w:tc>
        <w:tc>
          <w:tcPr>
            <w:tcW w:w="6085"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企业组织机构代码</w:t>
            </w:r>
          </w:p>
        </w:tc>
        <w:tc>
          <w:tcPr>
            <w:tcW w:w="6085" w:type="dxa"/>
            <w:gridSpan w:val="3"/>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药品经营许可证号</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42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GSP证书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编号</w:t>
            </w:r>
          </w:p>
        </w:tc>
        <w:tc>
          <w:tcPr>
            <w:tcW w:w="2890"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企业法人/企业负责人</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42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电 话</w:t>
            </w:r>
          </w:p>
        </w:tc>
        <w:tc>
          <w:tcPr>
            <w:tcW w:w="28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企业质量负责人</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42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电 话</w:t>
            </w:r>
          </w:p>
        </w:tc>
        <w:tc>
          <w:tcPr>
            <w:tcW w:w="28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分库或异地仓库负责人</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42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电 话</w:t>
            </w:r>
          </w:p>
        </w:tc>
        <w:tc>
          <w:tcPr>
            <w:tcW w:w="28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82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分库或异地仓库联系人</w:t>
            </w:r>
          </w:p>
        </w:tc>
        <w:tc>
          <w:tcPr>
            <w:tcW w:w="177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425"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电 话</w:t>
            </w:r>
          </w:p>
        </w:tc>
        <w:tc>
          <w:tcPr>
            <w:tcW w:w="28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914" w:type="dxa"/>
            <w:gridSpan w:val="4"/>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520" w:lineRule="atLeast"/>
              <w:ind w:left="0" w:right="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企业保证</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00" w:lineRule="atLeast"/>
              <w:ind w:left="0" w:right="0" w:firstLine="48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本报告表中所填写的内容、所附的资料均为真实、合法、有效。如有不实之处，本单位愿承担全部法律责任。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firstLine="240"/>
              <w:jc w:val="center"/>
              <w:rPr>
                <w:rFonts w:hint="eastAsia" w:ascii="宋体" w:hAnsi="宋体" w:eastAsia="宋体" w:cs="宋体"/>
                <w:sz w:val="21"/>
                <w:szCs w:val="21"/>
              </w:rPr>
            </w:pPr>
            <w:r>
              <w:rPr>
                <w:rFonts w:hint="eastAsia" w:ascii="仿宋" w:hAnsi="仿宋" w:eastAsia="仿宋" w:cs="仿宋"/>
                <w:kern w:val="0"/>
                <w:sz w:val="24"/>
                <w:szCs w:val="24"/>
                <w:lang w:val="en-US" w:eastAsia="zh-CN" w:bidi="ar"/>
              </w:rPr>
              <w:t>___________              ___________________</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440" w:lineRule="atLeast"/>
              <w:ind w:left="0" w:right="0" w:firstLine="96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       企业（盖章）          企业法定代表人或企业负责人（签字）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仿宋" w:hAnsi="仿宋" w:eastAsia="仿宋" w:cs="仿宋"/>
                <w:kern w:val="0"/>
                <w:sz w:val="24"/>
                <w:szCs w:val="24"/>
                <w:lang w:val="en-US" w:eastAsia="zh-CN" w:bidi="ar"/>
              </w:rPr>
              <w:t>                        年    月    日</w:t>
            </w:r>
          </w:p>
        </w:tc>
      </w:tr>
    </w:tbl>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2240"/>
        <w:jc w:val="left"/>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2240"/>
        <w:jc w:val="left"/>
        <w:rPr>
          <w:rFonts w:hint="eastAsia" w:ascii="宋体" w:hAnsi="宋体" w:eastAsia="宋体" w:cs="宋体"/>
          <w:sz w:val="21"/>
          <w:szCs w:val="21"/>
        </w:rPr>
      </w:pPr>
      <w:r>
        <w:rPr>
          <w:rFonts w:hint="eastAsia" w:ascii="宋体" w:hAnsi="宋体" w:eastAsia="宋体" w:cs="宋体"/>
          <w:i w:val="0"/>
          <w:caps w:val="0"/>
          <w:color w:val="333333"/>
          <w:spacing w:val="0"/>
          <w:kern w:val="0"/>
          <w:sz w:val="21"/>
          <w:szCs w:val="21"/>
          <w:lang w:val="en-US" w:eastAsia="zh-CN" w:bidi="ar"/>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i w:val="0"/>
          <w:caps w:val="0"/>
          <w:color w:val="333333"/>
          <w:spacing w:val="0"/>
          <w:sz w:val="21"/>
          <w:szCs w:val="21"/>
        </w:rPr>
        <w:t> </w:t>
      </w:r>
      <w:r>
        <w:rPr>
          <w:rFonts w:hint="default" w:ascii="仿宋_GB2312" w:hAnsi="宋体" w:eastAsia="仿宋_GB2312" w:cs="仿宋_GB2312"/>
          <w:b/>
          <w:i w:val="0"/>
          <w:caps w:val="0"/>
          <w:color w:val="333333"/>
          <w:spacing w:val="0"/>
          <w:sz w:val="32"/>
          <w:szCs w:val="32"/>
          <w:shd w:val="clear" w:fill="FFFFFF"/>
        </w:rPr>
        <w:t>表3  药品第三方物流企业（分库或异地仓库）人员情况表</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firstLine="240"/>
        <w:jc w:val="both"/>
        <w:rPr>
          <w:rFonts w:hint="eastAsia" w:ascii="宋体" w:hAnsi="宋体" w:eastAsia="宋体" w:cs="宋体"/>
          <w:sz w:val="21"/>
          <w:szCs w:val="21"/>
        </w:rPr>
      </w:pPr>
      <w:r>
        <w:rPr>
          <w:rFonts w:hint="eastAsia" w:ascii="宋体" w:hAnsi="宋体" w:eastAsia="宋体" w:cs="宋体"/>
          <w:i w:val="0"/>
          <w:caps w:val="0"/>
          <w:color w:val="333333"/>
          <w:spacing w:val="0"/>
          <w:sz w:val="24"/>
          <w:szCs w:val="24"/>
          <w:shd w:val="clear" w:fill="FFFFFF"/>
        </w:rPr>
        <w:t>填报单位（盖章）：                        填报日期： 年 月　日</w:t>
      </w:r>
    </w:p>
    <w:tbl>
      <w:tblPr>
        <w:tblStyle w:val="5"/>
        <w:tblW w:w="8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79"/>
        <w:gridCol w:w="1214"/>
        <w:gridCol w:w="947"/>
        <w:gridCol w:w="1214"/>
        <w:gridCol w:w="680"/>
        <w:gridCol w:w="947"/>
        <w:gridCol w:w="947"/>
        <w:gridCol w:w="1371"/>
        <w:gridCol w:w="9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91" w:hRule="atLeast"/>
        </w:trPr>
        <w:tc>
          <w:tcPr>
            <w:tcW w:w="679"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0" w:right="0"/>
              <w:jc w:val="center"/>
              <w:rPr>
                <w:rFonts w:hint="eastAsia" w:ascii="宋体" w:hAnsi="宋体" w:eastAsia="宋体" w:cs="宋体"/>
                <w:sz w:val="21"/>
                <w:szCs w:val="21"/>
              </w:rPr>
            </w:pPr>
            <w:r>
              <w:rPr>
                <w:rFonts w:hint="eastAsia" w:ascii="仿宋" w:hAnsi="仿宋" w:eastAsia="仿宋" w:cs="仿宋"/>
                <w:color w:val="333333"/>
                <w:sz w:val="24"/>
                <w:szCs w:val="24"/>
              </w:rPr>
              <w:t>序号</w:t>
            </w:r>
          </w:p>
        </w:tc>
        <w:tc>
          <w:tcPr>
            <w:tcW w:w="1214"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0" w:right="0"/>
              <w:jc w:val="center"/>
              <w:rPr>
                <w:rFonts w:hint="eastAsia" w:ascii="宋体" w:hAnsi="宋体" w:eastAsia="宋体" w:cs="宋体"/>
                <w:sz w:val="21"/>
                <w:szCs w:val="21"/>
              </w:rPr>
            </w:pPr>
            <w:r>
              <w:rPr>
                <w:rFonts w:hint="eastAsia" w:ascii="仿宋" w:hAnsi="仿宋" w:eastAsia="仿宋" w:cs="仿宋"/>
                <w:color w:val="333333"/>
                <w:sz w:val="24"/>
                <w:szCs w:val="24"/>
              </w:rPr>
              <w:t>姓</w:t>
            </w:r>
            <w:r>
              <w:rPr>
                <w:rFonts w:hint="eastAsia" w:ascii="宋体" w:hAnsi="宋体" w:eastAsia="宋体" w:cs="宋体"/>
                <w:sz w:val="21"/>
                <w:szCs w:val="21"/>
              </w:rPr>
              <w:t> </w:t>
            </w:r>
            <w:r>
              <w:rPr>
                <w:rFonts w:hint="eastAsia" w:ascii="仿宋" w:hAnsi="仿宋" w:eastAsia="仿宋" w:cs="仿宋"/>
                <w:color w:val="333333"/>
                <w:sz w:val="24"/>
                <w:szCs w:val="24"/>
              </w:rPr>
              <w:t>名</w:t>
            </w:r>
          </w:p>
        </w:tc>
        <w:tc>
          <w:tcPr>
            <w:tcW w:w="947"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0" w:right="0"/>
              <w:jc w:val="center"/>
              <w:rPr>
                <w:rFonts w:hint="eastAsia" w:ascii="宋体" w:hAnsi="宋体" w:eastAsia="宋体" w:cs="宋体"/>
                <w:sz w:val="21"/>
                <w:szCs w:val="21"/>
              </w:rPr>
            </w:pPr>
            <w:r>
              <w:rPr>
                <w:rFonts w:hint="eastAsia" w:ascii="仿宋" w:hAnsi="仿宋" w:eastAsia="仿宋" w:cs="仿宋"/>
                <w:color w:val="333333"/>
                <w:sz w:val="24"/>
                <w:szCs w:val="24"/>
              </w:rPr>
              <w:t>岗位</w:t>
            </w:r>
          </w:p>
        </w:tc>
        <w:tc>
          <w:tcPr>
            <w:tcW w:w="1214"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0" w:right="0"/>
              <w:jc w:val="center"/>
              <w:rPr>
                <w:rFonts w:hint="eastAsia" w:ascii="宋体" w:hAnsi="宋体" w:eastAsia="宋体" w:cs="宋体"/>
                <w:sz w:val="21"/>
                <w:szCs w:val="21"/>
              </w:rPr>
            </w:pPr>
            <w:r>
              <w:rPr>
                <w:rFonts w:hint="eastAsia" w:ascii="仿宋" w:hAnsi="仿宋" w:eastAsia="仿宋" w:cs="仿宋"/>
                <w:color w:val="333333"/>
                <w:sz w:val="24"/>
                <w:szCs w:val="24"/>
              </w:rPr>
              <w:t>出生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0" w:right="0"/>
              <w:jc w:val="center"/>
              <w:rPr>
                <w:rFonts w:hint="eastAsia" w:ascii="宋体" w:hAnsi="宋体" w:eastAsia="宋体" w:cs="宋体"/>
                <w:sz w:val="21"/>
                <w:szCs w:val="21"/>
              </w:rPr>
            </w:pPr>
            <w:r>
              <w:rPr>
                <w:rFonts w:hint="eastAsia" w:ascii="仿宋" w:hAnsi="仿宋" w:eastAsia="仿宋" w:cs="仿宋"/>
                <w:color w:val="333333"/>
                <w:sz w:val="24"/>
                <w:szCs w:val="24"/>
              </w:rPr>
              <w:t>年月</w:t>
            </w:r>
          </w:p>
        </w:tc>
        <w:tc>
          <w:tcPr>
            <w:tcW w:w="680"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0" w:right="0"/>
              <w:jc w:val="center"/>
              <w:rPr>
                <w:rFonts w:hint="eastAsia" w:ascii="宋体" w:hAnsi="宋体" w:eastAsia="宋体" w:cs="宋体"/>
                <w:sz w:val="21"/>
                <w:szCs w:val="21"/>
              </w:rPr>
            </w:pPr>
            <w:r>
              <w:rPr>
                <w:rFonts w:hint="eastAsia" w:ascii="仿宋" w:hAnsi="仿宋" w:eastAsia="仿宋" w:cs="仿宋"/>
                <w:color w:val="333333"/>
                <w:sz w:val="24"/>
                <w:szCs w:val="24"/>
              </w:rPr>
              <w:t>性别</w:t>
            </w:r>
          </w:p>
        </w:tc>
        <w:tc>
          <w:tcPr>
            <w:tcW w:w="947"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0" w:right="0"/>
              <w:jc w:val="center"/>
              <w:rPr>
                <w:rFonts w:hint="eastAsia" w:ascii="宋体" w:hAnsi="宋体" w:eastAsia="宋体" w:cs="宋体"/>
                <w:sz w:val="21"/>
                <w:szCs w:val="21"/>
              </w:rPr>
            </w:pPr>
            <w:r>
              <w:rPr>
                <w:rFonts w:hint="eastAsia" w:ascii="仿宋" w:hAnsi="仿宋" w:eastAsia="仿宋" w:cs="仿宋"/>
                <w:color w:val="333333"/>
                <w:sz w:val="24"/>
                <w:szCs w:val="24"/>
              </w:rPr>
              <w:t>学历</w:t>
            </w:r>
          </w:p>
        </w:tc>
        <w:tc>
          <w:tcPr>
            <w:tcW w:w="947"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0" w:right="0"/>
              <w:jc w:val="center"/>
              <w:rPr>
                <w:rFonts w:hint="eastAsia" w:ascii="宋体" w:hAnsi="宋体" w:eastAsia="宋体" w:cs="宋体"/>
                <w:sz w:val="21"/>
                <w:szCs w:val="21"/>
              </w:rPr>
            </w:pPr>
            <w:r>
              <w:rPr>
                <w:rFonts w:hint="eastAsia" w:ascii="仿宋" w:hAnsi="仿宋" w:eastAsia="仿宋" w:cs="仿宋"/>
                <w:color w:val="333333"/>
                <w:sz w:val="24"/>
                <w:szCs w:val="24"/>
              </w:rPr>
              <w:t>专业</w:t>
            </w:r>
          </w:p>
        </w:tc>
        <w:tc>
          <w:tcPr>
            <w:tcW w:w="1371"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0" w:right="0"/>
              <w:jc w:val="center"/>
              <w:rPr>
                <w:rFonts w:hint="eastAsia" w:ascii="宋体" w:hAnsi="宋体" w:eastAsia="宋体" w:cs="宋体"/>
                <w:sz w:val="21"/>
                <w:szCs w:val="21"/>
              </w:rPr>
            </w:pPr>
            <w:r>
              <w:rPr>
                <w:rFonts w:hint="eastAsia" w:ascii="仿宋" w:hAnsi="仿宋" w:eastAsia="仿宋" w:cs="仿宋"/>
                <w:color w:val="333333"/>
                <w:sz w:val="24"/>
                <w:szCs w:val="24"/>
              </w:rPr>
              <w:t>职称/执业资格</w:t>
            </w:r>
          </w:p>
        </w:tc>
        <w:tc>
          <w:tcPr>
            <w:tcW w:w="975"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0" w:lineRule="atLeast"/>
              <w:ind w:left="0" w:right="0"/>
              <w:jc w:val="center"/>
              <w:rPr>
                <w:rFonts w:hint="eastAsia" w:ascii="宋体" w:hAnsi="宋体" w:eastAsia="宋体" w:cs="宋体"/>
                <w:sz w:val="21"/>
                <w:szCs w:val="21"/>
              </w:rPr>
            </w:pPr>
            <w:r>
              <w:rPr>
                <w:rFonts w:hint="eastAsia" w:ascii="仿宋" w:hAnsi="仿宋" w:eastAsia="仿宋" w:cs="仿宋"/>
                <w:color w:val="333333"/>
                <w:sz w:val="24"/>
                <w:szCs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79"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214"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680"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47"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1371"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c>
          <w:tcPr>
            <w:tcW w:w="975" w:type="dxa"/>
            <w:tcBorders>
              <w:top w:val="nil"/>
              <w:left w:val="nil"/>
              <w:bottom w:val="single" w:color="auto" w:sz="8" w:space="0"/>
              <w:right w:val="single" w:color="auto" w:sz="8" w:space="0"/>
            </w:tcBorders>
            <w:shd w:val="clear" w:color="auto" w:fill="auto"/>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sz w:val="21"/>
                <w:szCs w:val="21"/>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480" w:right="0" w:hanging="480"/>
        <w:jc w:val="both"/>
        <w:rPr>
          <w:rFonts w:hint="eastAsia" w:ascii="宋体" w:hAnsi="宋体" w:eastAsia="宋体" w:cs="宋体"/>
          <w:sz w:val="21"/>
          <w:szCs w:val="21"/>
        </w:rPr>
      </w:pPr>
      <w:r>
        <w:rPr>
          <w:rFonts w:hint="eastAsia" w:ascii="仿宋" w:hAnsi="仿宋" w:eastAsia="仿宋" w:cs="仿宋"/>
          <w:i w:val="0"/>
          <w:caps w:val="0"/>
          <w:color w:val="333333"/>
          <w:spacing w:val="0"/>
          <w:sz w:val="24"/>
          <w:szCs w:val="24"/>
          <w:shd w:val="clear" w:fill="FFFFFF"/>
        </w:rPr>
        <w:t>注：1.填报本表时，应将学历证书、专业技术职称证书或执业资格证书的复印件附后；  </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484" w:right="0" w:firstLine="0"/>
        <w:jc w:val="both"/>
        <w:rPr>
          <w:rFonts w:hint="eastAsia" w:ascii="宋体" w:hAnsi="宋体" w:eastAsia="宋体" w:cs="宋体"/>
          <w:sz w:val="21"/>
          <w:szCs w:val="21"/>
        </w:rPr>
      </w:pPr>
      <w:r>
        <w:rPr>
          <w:rFonts w:hint="eastAsia" w:ascii="仿宋" w:hAnsi="仿宋" w:eastAsia="仿宋" w:cs="仿宋"/>
          <w:i w:val="0"/>
          <w:caps w:val="0"/>
          <w:color w:val="333333"/>
          <w:spacing w:val="0"/>
          <w:sz w:val="24"/>
          <w:szCs w:val="24"/>
          <w:shd w:val="clear" w:fill="FFFFFF"/>
        </w:rPr>
        <w:t>2.表中的企业药品质量管理负责人应在备注栏中注明。</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jc w:val="center"/>
        <w:rPr>
          <w:rFonts w:hint="eastAsia" w:ascii="宋体" w:hAnsi="宋体" w:eastAsia="宋体" w:cs="宋体"/>
          <w:sz w:val="21"/>
          <w:szCs w:val="21"/>
        </w:rPr>
      </w:pPr>
      <w:r>
        <w:rPr>
          <w:rFonts w:hint="eastAsia" w:ascii="宋体" w:hAnsi="宋体" w:eastAsia="宋体" w:cs="宋体"/>
          <w:b/>
          <w:i w:val="0"/>
          <w:caps w:val="0"/>
          <w:color w:val="333333"/>
          <w:spacing w:val="0"/>
          <w:sz w:val="21"/>
          <w:szCs w:val="21"/>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jc w:val="center"/>
        <w:rPr>
          <w:rFonts w:hint="eastAsia" w:ascii="宋体" w:hAnsi="宋体" w:eastAsia="宋体" w:cs="宋体"/>
          <w:sz w:val="21"/>
          <w:szCs w:val="21"/>
        </w:rPr>
      </w:pPr>
      <w:r>
        <w:rPr>
          <w:rFonts w:hint="default" w:ascii="仿宋_GB2312" w:hAnsi="宋体" w:eastAsia="仿宋_GB2312" w:cs="仿宋_GB2312"/>
          <w:b/>
          <w:i w:val="0"/>
          <w:caps w:val="0"/>
          <w:color w:val="333333"/>
          <w:spacing w:val="0"/>
          <w:sz w:val="32"/>
          <w:szCs w:val="32"/>
          <w:shd w:val="clear" w:fill="FFFFFF"/>
        </w:rPr>
        <w:t>表4 企业物流（分库或异地仓库）仓储运输设施设备情况表</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jc w:val="center"/>
        <w:rPr>
          <w:rFonts w:hint="eastAsia" w:ascii="宋体" w:hAnsi="宋体" w:eastAsia="宋体" w:cs="宋体"/>
          <w:sz w:val="21"/>
          <w:szCs w:val="21"/>
        </w:rPr>
      </w:pPr>
      <w:r>
        <w:rPr>
          <w:rFonts w:hint="eastAsia" w:ascii="宋体" w:hAnsi="宋体" w:eastAsia="宋体" w:cs="宋体"/>
          <w:b/>
          <w:i w:val="0"/>
          <w:caps w:val="0"/>
          <w:color w:val="333333"/>
          <w:spacing w:val="0"/>
          <w:sz w:val="21"/>
          <w:szCs w:val="21"/>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i w:val="0"/>
          <w:caps w:val="0"/>
          <w:color w:val="333333"/>
          <w:spacing w:val="0"/>
          <w:sz w:val="24"/>
          <w:szCs w:val="24"/>
          <w:shd w:val="clear" w:fill="FFFFFF"/>
        </w:rPr>
        <w:t>　填报单位（盖章）：              填报日期:      年   月   日</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210" w:beforeAutospacing="0" w:after="210" w:afterAutospacing="0" w:line="21" w:lineRule="atLeast"/>
        <w:ind w:left="0" w:right="0"/>
        <w:jc w:val="both"/>
        <w:rPr>
          <w:rFonts w:hint="eastAsia" w:ascii="宋体" w:hAnsi="宋体" w:eastAsia="宋体" w:cs="宋体"/>
          <w:sz w:val="21"/>
          <w:szCs w:val="21"/>
        </w:rPr>
      </w:pPr>
      <w:r>
        <w:rPr>
          <w:rFonts w:hint="eastAsia" w:ascii="宋体" w:hAnsi="宋体" w:eastAsia="宋体" w:cs="宋体"/>
          <w:i w:val="0"/>
          <w:caps w:val="0"/>
          <w:color w:val="333333"/>
          <w:spacing w:val="0"/>
          <w:sz w:val="24"/>
          <w:szCs w:val="24"/>
          <w:shd w:val="clear" w:fill="FFFFFF"/>
        </w:rPr>
        <w:t> </w:t>
      </w:r>
    </w:p>
    <w:tbl>
      <w:tblPr>
        <w:tblStyle w:val="5"/>
        <w:tblW w:w="85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705"/>
        <w:gridCol w:w="1690"/>
        <w:gridCol w:w="1712"/>
        <w:gridCol w:w="1701"/>
        <w:gridCol w:w="17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jc w:val="center"/>
        </w:trPr>
        <w:tc>
          <w:tcPr>
            <w:tcW w:w="1705"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物流中心（</w:t>
            </w:r>
            <w:r>
              <w:rPr>
                <w:rFonts w:hint="default" w:ascii="仿宋_GB2312" w:hAnsi="宋体" w:eastAsia="仿宋_GB2312" w:cs="仿宋_GB2312"/>
                <w:color w:val="333333"/>
                <w:kern w:val="0"/>
                <w:sz w:val="30"/>
                <w:szCs w:val="30"/>
                <w:shd w:val="clear" w:fill="FFFFFF"/>
                <w:lang w:val="en-US" w:eastAsia="zh-CN" w:bidi="ar"/>
              </w:rPr>
              <w:t>分库或异地仓库</w:t>
            </w:r>
            <w:r>
              <w:rPr>
                <w:rFonts w:hint="default" w:ascii="仿宋_GB2312" w:hAnsi="宋体" w:eastAsia="仿宋_GB2312" w:cs="仿宋_GB2312"/>
                <w:color w:val="333333"/>
                <w:kern w:val="0"/>
                <w:sz w:val="24"/>
                <w:szCs w:val="24"/>
                <w:lang w:val="en-US" w:eastAsia="zh-CN" w:bidi="ar"/>
              </w:rPr>
              <w:t>）面积</w:t>
            </w:r>
          </w:p>
        </w:tc>
        <w:tc>
          <w:tcPr>
            <w:tcW w:w="1690"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仓库总面积（㎡）</w:t>
            </w:r>
          </w:p>
        </w:tc>
        <w:tc>
          <w:tcPr>
            <w:tcW w:w="1712"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阴凉库面积（㎡）</w:t>
            </w:r>
          </w:p>
        </w:tc>
        <w:tc>
          <w:tcPr>
            <w:tcW w:w="1701"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冷库容积（m3）</w:t>
            </w:r>
          </w:p>
        </w:tc>
        <w:tc>
          <w:tcPr>
            <w:tcW w:w="1712"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辅助用房面积（㎡）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0" w:hRule="atLeast"/>
          <w:jc w:val="center"/>
        </w:trPr>
        <w:tc>
          <w:tcPr>
            <w:tcW w:w="1705"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pPr>
              <w:rPr>
                <w:rFonts w:hint="eastAsia" w:ascii="宋体" w:hAnsi="宋体" w:eastAsia="宋体" w:cs="宋体"/>
                <w:sz w:val="27"/>
                <w:szCs w:val="27"/>
              </w:rPr>
            </w:pPr>
          </w:p>
        </w:tc>
        <w:tc>
          <w:tcPr>
            <w:tcW w:w="16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0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170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自动堆垛立体仓库</w:t>
            </w:r>
          </w:p>
        </w:tc>
        <w:tc>
          <w:tcPr>
            <w:tcW w:w="16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面积</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层高（m）</w:t>
            </w:r>
          </w:p>
        </w:tc>
        <w:tc>
          <w:tcPr>
            <w:tcW w:w="170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巷道高位堆垛机数量（架）</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内置托盘数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7" w:hRule="atLeast"/>
          <w:jc w:val="center"/>
        </w:trPr>
        <w:tc>
          <w:tcPr>
            <w:tcW w:w="170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rPr>
                <w:rFonts w:hint="eastAsia" w:ascii="宋体" w:hAnsi="宋体" w:eastAsia="宋体" w:cs="宋体"/>
                <w:sz w:val="27"/>
                <w:szCs w:val="27"/>
              </w:rPr>
            </w:pPr>
          </w:p>
        </w:tc>
        <w:tc>
          <w:tcPr>
            <w:tcW w:w="16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0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5" w:hRule="atLeast"/>
          <w:jc w:val="center"/>
        </w:trPr>
        <w:tc>
          <w:tcPr>
            <w:tcW w:w="170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整件仓库</w:t>
            </w:r>
          </w:p>
        </w:tc>
        <w:tc>
          <w:tcPr>
            <w:tcW w:w="16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面积</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层高（m）</w:t>
            </w:r>
          </w:p>
        </w:tc>
        <w:tc>
          <w:tcPr>
            <w:tcW w:w="170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托盘货位数</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8" w:hRule="atLeast"/>
          <w:jc w:val="center"/>
        </w:trPr>
        <w:tc>
          <w:tcPr>
            <w:tcW w:w="170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rPr>
                <w:rFonts w:hint="eastAsia" w:ascii="宋体" w:hAnsi="宋体" w:eastAsia="宋体" w:cs="宋体"/>
                <w:sz w:val="27"/>
                <w:szCs w:val="27"/>
              </w:rPr>
            </w:pPr>
          </w:p>
        </w:tc>
        <w:tc>
          <w:tcPr>
            <w:tcW w:w="16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0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170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零散件仓库</w:t>
            </w:r>
          </w:p>
        </w:tc>
        <w:tc>
          <w:tcPr>
            <w:tcW w:w="16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面积</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货位总数量（个）</w:t>
            </w:r>
          </w:p>
        </w:tc>
        <w:tc>
          <w:tcPr>
            <w:tcW w:w="170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电子标签货位数量（个）</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复核口数量（个）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70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rPr>
                <w:rFonts w:hint="eastAsia" w:ascii="宋体" w:hAnsi="宋体" w:eastAsia="宋体" w:cs="宋体"/>
                <w:sz w:val="27"/>
                <w:szCs w:val="27"/>
              </w:rPr>
            </w:pPr>
          </w:p>
        </w:tc>
        <w:tc>
          <w:tcPr>
            <w:tcW w:w="16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0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70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自动传输及分拣</w:t>
            </w:r>
          </w:p>
        </w:tc>
        <w:tc>
          <w:tcPr>
            <w:tcW w:w="3402"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自动箱式输送带（有或无）</w:t>
            </w:r>
          </w:p>
        </w:tc>
        <w:tc>
          <w:tcPr>
            <w:tcW w:w="3413"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自动分拣巷道数量（条）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70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rPr>
                <w:rFonts w:hint="eastAsia" w:ascii="宋体" w:hAnsi="宋体" w:eastAsia="宋体" w:cs="宋体"/>
                <w:sz w:val="27"/>
                <w:szCs w:val="27"/>
              </w:rPr>
            </w:pPr>
          </w:p>
        </w:tc>
        <w:tc>
          <w:tcPr>
            <w:tcW w:w="3402"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3413"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70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设施设备</w:t>
            </w:r>
          </w:p>
        </w:tc>
        <w:tc>
          <w:tcPr>
            <w:tcW w:w="16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电动叉车（辆）</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液压托盘叉车</w:t>
            </w:r>
          </w:p>
        </w:tc>
        <w:tc>
          <w:tcPr>
            <w:tcW w:w="1701"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无线射频手持终端机（个）</w:t>
            </w:r>
          </w:p>
        </w:tc>
        <w:tc>
          <w:tcPr>
            <w:tcW w:w="1712"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条码标签打印机（台）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70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rPr>
                <w:rFonts w:hint="eastAsia" w:ascii="宋体" w:hAnsi="宋体" w:eastAsia="宋体" w:cs="宋体"/>
                <w:sz w:val="27"/>
                <w:szCs w:val="27"/>
              </w:rPr>
            </w:pPr>
          </w:p>
        </w:tc>
        <w:tc>
          <w:tcPr>
            <w:tcW w:w="16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701"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1712"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70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运输设备</w:t>
            </w:r>
          </w:p>
        </w:tc>
        <w:tc>
          <w:tcPr>
            <w:tcW w:w="3402"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密闭式运输车（辆）</w:t>
            </w:r>
          </w:p>
        </w:tc>
        <w:tc>
          <w:tcPr>
            <w:tcW w:w="3413"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default" w:ascii="仿宋_GB2312" w:hAnsi="宋体" w:eastAsia="仿宋_GB2312" w:cs="仿宋_GB2312"/>
                <w:color w:val="333333"/>
                <w:kern w:val="0"/>
                <w:sz w:val="24"/>
                <w:szCs w:val="24"/>
                <w:lang w:val="en-US" w:eastAsia="zh-CN" w:bidi="ar"/>
              </w:rPr>
              <w:t>冷藏运输车（辆）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8" w:hRule="atLeast"/>
          <w:jc w:val="center"/>
        </w:trPr>
        <w:tc>
          <w:tcPr>
            <w:tcW w:w="170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rPr>
                <w:rFonts w:hint="eastAsia" w:ascii="宋体" w:hAnsi="宋体" w:eastAsia="宋体" w:cs="宋体"/>
                <w:sz w:val="27"/>
                <w:szCs w:val="27"/>
              </w:rPr>
            </w:pPr>
          </w:p>
        </w:tc>
        <w:tc>
          <w:tcPr>
            <w:tcW w:w="3402"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c>
          <w:tcPr>
            <w:tcW w:w="3413" w:type="dxa"/>
            <w:gridSpan w:val="2"/>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21" w:lineRule="atLeast"/>
              <w:ind w:left="0" w:right="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 </w:t>
            </w:r>
          </w:p>
        </w:tc>
      </w:tr>
    </w:tbl>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FhMWQ2NjgyNGE0NDIwZjJkMDJjMWViMTIwYzg4MTIifQ=="/>
  </w:docVars>
  <w:rsids>
    <w:rsidRoot w:val="00000000"/>
    <w:rsid w:val="37CC4F7D"/>
    <w:rsid w:val="5FFE3B9C"/>
    <w:rsid w:val="73374A71"/>
    <w:rsid w:val="F37D59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lenovo</dc:creator>
  <cp:lastModifiedBy>洪欣/fjfda</cp:lastModifiedBy>
  <dcterms:modified xsi:type="dcterms:W3CDTF">2023-10-31T07:09:03Z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D12A48E879DD4655856D433FE0B186F0_12</vt:lpwstr>
  </property>
</Properties>
</file>